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170815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month of October 2026</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Oatly Group AB (publ)</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174625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183515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3733800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2154555</wp:posOffset>
            </wp:positionV>
            <wp:extent cx="1671320" cy="1619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14"/>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0" w:type="dxa"/>
            <w:vAlign w:val="bottom"/>
          </w:tcPr>
          <w:p>
            <w:pPr>
              <w:spacing w:after="0"/>
              <w:rPr>
                <w:sz w:val="24"/>
                <w:szCs w:val="24"/>
                <w:color w:val="auto"/>
              </w:rPr>
            </w:pPr>
          </w:p>
        </w:tc>
      </w:tr>
      <w:tr>
        <w:trPr>
          <w:trHeight w:val="194"/>
        </w:trPr>
        <w:tc>
          <w:tcPr>
            <w:tcW w:w="9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2200" w:type="dxa"/>
            <w:vAlign w:val="bottom"/>
          </w:tcPr>
          <w:p>
            <w:pPr>
              <w:spacing w:after="0"/>
              <w:rPr>
                <w:sz w:val="16"/>
                <w:szCs w:val="16"/>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1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Operations</w:t>
            </w:r>
          </w:p>
        </w:tc>
        <w:tc>
          <w:tcPr>
            <w:tcW w:w="4860" w:type="dxa"/>
            <w:vAlign w:val="bottom"/>
            <w:gridSpan w:val="8"/>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9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Comprehensive Loss</w:t>
            </w:r>
          </w:p>
        </w:tc>
        <w:tc>
          <w:tcPr>
            <w:tcW w:w="414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7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Changes in Equity</w:t>
            </w:r>
          </w:p>
        </w:tc>
        <w:tc>
          <w:tcPr>
            <w:tcW w:w="4320" w:type="dxa"/>
            <w:vAlign w:val="bottom"/>
            <w:gridSpan w:val="5"/>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Cash Flows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the Interim Condensed Consolidated Financial Statements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5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1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00" w:type="dxa"/>
            <w:vAlign w:val="bottom"/>
          </w:tcPr>
          <w:p>
            <w:pPr>
              <w:spacing w:after="0"/>
              <w:rPr>
                <w:sz w:val="18"/>
                <w:szCs w:val="18"/>
                <w:color w:val="auto"/>
              </w:rPr>
            </w:pPr>
          </w:p>
        </w:tc>
      </w:tr>
      <w:tr>
        <w:trPr>
          <w:trHeight w:val="194"/>
        </w:trPr>
        <w:tc>
          <w:tcPr>
            <w:tcW w:w="5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140" w:type="dxa"/>
            <w:vAlign w:val="bottom"/>
            <w:gridSpan w:val="11"/>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440" w:type="dxa"/>
            <w:vAlign w:val="bottom"/>
            <w:gridSpan w:val="1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54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8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160" w:type="dxa"/>
            <w:vAlign w:val="bottom"/>
            <w:gridSpan w:val="9"/>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215"/>
        </w:trPr>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(160,072)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(156,449)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(470,788)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(432,378)</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82,982</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240,686</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(85,320)</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(75,146)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(263,470)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(236,755)</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(9,189)</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(37,849)</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(57,631)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(16,066)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(47,557)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(70,062)</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(127,693)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(6,188)</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(27,453)</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(70,918)</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(133,881)</w:t>
            </w: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(27,458)</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(65,287)</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(70,747)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(133,628)</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54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shareholders of the parent</w:t>
            </w: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638,254,231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606,332,281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630,675,537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602,057,593</w:t>
            </w:r>
          </w:p>
        </w:tc>
        <w:tc>
          <w:tcPr>
            <w:tcW w:w="1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-1456690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-1473835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-1456690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(27,453)</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(70,918)</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(133,881)</w:t>
            </w:r>
          </w:p>
        </w:tc>
      </w:tr>
      <w:tr>
        <w:trPr>
          <w:trHeight w:val="209"/>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120" w:type="dxa"/>
            <w:vAlign w:val="bottom"/>
          </w:tcPr>
          <w:p>
            <w:pPr>
              <w:spacing w:after="0"/>
              <w:rPr>
                <w:sz w:val="18"/>
                <w:szCs w:val="18"/>
                <w:color w:val="auto"/>
              </w:rPr>
            </w:pP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be subsequently reclassified to the consolidated</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statement of operations (net of tax):</w:t>
            </w: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 risk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(16,355)</w:t>
            </w:r>
          </w:p>
        </w:tc>
      </w:tr>
      <w:tr>
        <w:trPr>
          <w:trHeight w:val="20"/>
        </w:trPr>
        <w:tc>
          <w:tcPr>
            <w:tcW w:w="5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 for the period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(2,198)</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(14,622)</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(8,275)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37,405</w:t>
            </w:r>
          </w:p>
        </w:tc>
        <w:tc>
          <w:tcPr>
            <w:tcW w:w="120" w:type="dxa"/>
            <w:vAlign w:val="bottom"/>
            <w:shd w:val="clear" w:color="auto" w:fill="CFF0FC"/>
          </w:tcPr>
          <w:p>
            <w:pPr>
              <w:spacing w:after="0"/>
              <w:rPr>
                <w:sz w:val="18"/>
                <w:szCs w:val="18"/>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(29,651)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(80,026)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(79,193)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(96,476)</w:t>
            </w:r>
          </w:p>
        </w:tc>
      </w:tr>
      <w:tr>
        <w:trPr>
          <w:trHeight w:val="20"/>
        </w:trPr>
        <w:tc>
          <w:tcPr>
            <w:tcW w:w="5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(29,666)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(79,918)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(79,064)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(96,236)</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-1696720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-1696720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-1696720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-582295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-582295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-582295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126,610</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48,872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481,548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522,010</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80,701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100,583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231,157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265,187</w:t>
            </w:r>
          </w:p>
        </w:tc>
        <w:tc>
          <w:tcPr>
            <w:tcW w:w="100" w:type="dxa"/>
            <w:vAlign w:val="bottom"/>
          </w:tcPr>
          <w:p>
            <w:pPr>
              <w:spacing w:after="0"/>
              <w:rPr>
                <w:sz w:val="18"/>
                <w:szCs w:val="18"/>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712,705</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shd w:val="clear" w:color="auto" w:fill="CFF0FC"/>
          </w:tcPr>
          <w:p>
            <w:pPr>
              <w:spacing w:after="0"/>
              <w:rPr>
                <w:sz w:val="21"/>
                <w:szCs w:val="21"/>
                <w:color w:val="auto"/>
              </w:rPr>
            </w:pP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(233,668)</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(225,351)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(1,458,865)</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(1,397,805)</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(50,820)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(49,833)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168,830</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186,159</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210,209</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67,591</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125,962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576,379</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557,317</w:t>
            </w:r>
          </w:p>
        </w:tc>
        <w:tc>
          <w:tcPr>
            <w:tcW w:w="100" w:type="dxa"/>
            <w:vAlign w:val="bottom"/>
          </w:tcPr>
          <w:p>
            <w:pPr>
              <w:spacing w:after="0"/>
              <w:rPr>
                <w:sz w:val="18"/>
                <w:szCs w:val="18"/>
                <w:color w:val="auto"/>
              </w:rPr>
            </w:pPr>
          </w:p>
        </w:tc>
      </w:tr>
      <w:tr>
        <w:trPr>
          <w:trHeight w:val="209"/>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762,538</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712,705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-5228590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-4114165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-3822700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-3805555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-2407920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00" w:type="dxa"/>
            <w:vAlign w:val="bottom"/>
          </w:tcPr>
          <w:p>
            <w:pPr>
              <w:spacing w:after="0"/>
              <w:rPr>
                <w:sz w:val="13"/>
                <w:szCs w:val="13"/>
                <w:color w:val="auto"/>
              </w:rPr>
            </w:pPr>
          </w:p>
        </w:tc>
        <w:tc>
          <w:tcPr>
            <w:tcW w:w="860" w:type="dxa"/>
            <w:vAlign w:val="bottom"/>
          </w:tcPr>
          <w:p>
            <w:pPr>
              <w:jc w:val="right"/>
              <w:ind w:right="73"/>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80" w:type="dxa"/>
            <w:vAlign w:val="bottom"/>
          </w:tcPr>
          <w:p>
            <w:pPr>
              <w:jc w:val="right"/>
              <w:ind w:right="193"/>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(225,351)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(1,397,805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(12,006)</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(12,006)</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(12,129)</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187"/>
        </w:trPr>
        <w:tc>
          <w:tcPr>
            <w:tcW w:w="29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(5,885)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(12,006)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(17,891)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(17,995)</w:t>
            </w:r>
          </w:p>
        </w:tc>
        <w:tc>
          <w:tcPr>
            <w:tcW w:w="0" w:type="dxa"/>
            <w:vAlign w:val="bottom"/>
          </w:tcPr>
          <w:p>
            <w:pPr>
              <w:spacing w:after="0"/>
              <w:rPr>
                <w:sz w:val="1"/>
                <w:szCs w:val="1"/>
                <w:color w:val="auto"/>
              </w:rPr>
            </w:pPr>
          </w:p>
        </w:tc>
      </w:tr>
      <w:tr>
        <w:trPr>
          <w:trHeight w:val="103"/>
        </w:trPr>
        <w:tc>
          <w:tcPr>
            <w:tcW w:w="29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(231,236)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(1,406,942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(31,283)</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(31,283)</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(31,336)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87"/>
        </w:trPr>
        <w:tc>
          <w:tcPr>
            <w:tcW w:w="29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(31,283)</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(31,507)</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(31,547)</w:t>
            </w:r>
          </w:p>
        </w:tc>
        <w:tc>
          <w:tcPr>
            <w:tcW w:w="0" w:type="dxa"/>
            <w:vAlign w:val="bottom"/>
          </w:tcPr>
          <w:p>
            <w:pPr>
              <w:spacing w:after="0"/>
              <w:rPr>
                <w:sz w:val="1"/>
                <w:szCs w:val="1"/>
                <w:color w:val="auto"/>
              </w:rPr>
            </w:pPr>
          </w:p>
        </w:tc>
      </w:tr>
      <w:tr>
        <w:trPr>
          <w:trHeight w:val="103"/>
        </w:trPr>
        <w:tc>
          <w:tcPr>
            <w:tcW w:w="296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60" w:type="dxa"/>
            <w:vAlign w:val="bottom"/>
            <w:tcBorders>
              <w:bottom w:val="single" w:sz="8" w:color="CFF0FC"/>
            </w:tcBorders>
            <w:vMerge w:val="continue"/>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4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(231,460)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(1,434,724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(23,499)</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(27,458)</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(27,458)</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(27,453)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187"/>
        </w:trPr>
        <w:tc>
          <w:tcPr>
            <w:tcW w:w="29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(2,208)</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(27,458)</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(29,666)</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(29,651)</w:t>
            </w:r>
          </w:p>
        </w:tc>
        <w:tc>
          <w:tcPr>
            <w:tcW w:w="0" w:type="dxa"/>
            <w:vAlign w:val="bottom"/>
          </w:tcPr>
          <w:p>
            <w:pPr>
              <w:spacing w:after="0"/>
              <w:rPr>
                <w:sz w:val="1"/>
                <w:szCs w:val="1"/>
                <w:color w:val="auto"/>
              </w:rPr>
            </w:pPr>
          </w:p>
        </w:tc>
      </w:tr>
      <w:tr>
        <w:trPr>
          <w:trHeight w:val="103"/>
        </w:trPr>
        <w:tc>
          <w:tcPr>
            <w:tcW w:w="296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vMerge w:val="continue"/>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77"/>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5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(233,668)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(1,458,865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(50,820)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(49,833)</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-3171190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-3154045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-3171190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-3154045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-3171190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-3154045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-3171190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-3154045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-3171190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-3154045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-3171190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-3154045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-3171190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-3154045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-2871470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-2871470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-2871470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-2871470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-2871470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-2871470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-2871470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-2451100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-2451100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-2451100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-2451100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-2451100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-2451100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-2451100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-1610995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-1593850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-1610995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-1593850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-1610995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-1593850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-1610995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-1593850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-1610995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-1610995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-1610995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-1593850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-1311275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-1311275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-1311275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-1311275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-1311275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-1311275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-1311275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-471170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-453390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-471170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-453390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-471170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-453390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-471170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-453390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-471170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-453390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-471170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-453390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-471170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-453390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6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(1,249,303)</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97"/>
        </w:trPr>
        <w:tc>
          <w:tcPr>
            <w:tcW w:w="2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29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29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9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187"/>
        </w:trPr>
        <w:tc>
          <w:tcPr>
            <w:tcW w:w="29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(55,911)</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(28,583)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(28,616)</w:t>
            </w:r>
          </w:p>
        </w:tc>
        <w:tc>
          <w:tcPr>
            <w:tcW w:w="0" w:type="dxa"/>
            <w:vAlign w:val="bottom"/>
          </w:tcPr>
          <w:p>
            <w:pPr>
              <w:spacing w:after="0"/>
              <w:rPr>
                <w:sz w:val="1"/>
                <w:szCs w:val="1"/>
                <w:color w:val="auto"/>
              </w:rPr>
            </w:pPr>
          </w:p>
        </w:tc>
      </w:tr>
      <w:tr>
        <w:trPr>
          <w:trHeight w:val="103"/>
        </w:trPr>
        <w:tc>
          <w:tcPr>
            <w:tcW w:w="292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90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6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(222,137)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(1,310,599)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95,416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96,719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9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(65,404)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0" w:type="dxa"/>
            <w:vAlign w:val="bottom"/>
          </w:tcPr>
          <w:p>
            <w:pPr>
              <w:spacing w:after="0"/>
              <w:rPr>
                <w:sz w:val="1"/>
                <w:szCs w:val="1"/>
                <w:color w:val="auto"/>
              </w:rPr>
            </w:pPr>
          </w:p>
        </w:tc>
      </w:tr>
      <w:tr>
        <w:trPr>
          <w:trHeight w:val="187"/>
        </w:trPr>
        <w:tc>
          <w:tcPr>
            <w:tcW w:w="29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(14,631)</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(65,287)</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(80,026)</w:t>
            </w:r>
          </w:p>
        </w:tc>
        <w:tc>
          <w:tcPr>
            <w:tcW w:w="0" w:type="dxa"/>
            <w:vAlign w:val="bottom"/>
          </w:tcPr>
          <w:p>
            <w:pPr>
              <w:spacing w:after="0"/>
              <w:rPr>
                <w:sz w:val="1"/>
                <w:szCs w:val="1"/>
                <w:color w:val="auto"/>
              </w:rPr>
            </w:pPr>
          </w:p>
        </w:tc>
      </w:tr>
      <w:tr>
        <w:trPr>
          <w:trHeight w:val="103"/>
        </w:trPr>
        <w:tc>
          <w:tcPr>
            <w:tcW w:w="292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90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1,628,156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(236,768)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(1,372,806)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-2896870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-2879725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-2896870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-2879725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-2896870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-2879725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-2896870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-2879725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-2896870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-2879725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-2896870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-2879725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-2896870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-2879725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-2596515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-2596515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-2596515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-2596515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-2596515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-2596515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-2596515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-2176780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-2176780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-2176780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-2176780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-2176780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-2176780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-2176780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-1473835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-1456690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-1473835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-1456690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-1473835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-1456690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-1473835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-1456690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-1473835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-1456690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-1473835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-1456690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-1473835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-1456690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-1173480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-1173480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-1173480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-1173480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-1173480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-1173480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-471170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-454025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-471170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-454025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-471170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-454025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-471170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-454025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-471170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-454025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-471170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-454025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-170815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(70,918)</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(133,881)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9,10,11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gain on trade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(12,548)</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disposal of property, plant and equipment and intangible assets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related to the strategic review of Greater China business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(16,690)</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(19,301)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trade payables, other current liabilities, accrued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(11,481)</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(17,359)</w:t>
            </w:r>
          </w:p>
        </w:tc>
        <w:tc>
          <w:tcPr>
            <w:tcW w:w="0" w:type="dxa"/>
            <w:vAlign w:val="bottom"/>
          </w:tcPr>
          <w:p>
            <w:pPr>
              <w:spacing w:after="0"/>
              <w:rPr>
                <w:sz w:val="1"/>
                <w:szCs w:val="1"/>
                <w:color w:val="auto"/>
              </w:rPr>
            </w:pPr>
          </w:p>
        </w:tc>
      </w:tr>
      <w:tr>
        <w:trPr>
          <w:trHeight w:val="209"/>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(16,649)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(12,068)</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(18,668)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(12,986)</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(1,533)</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(9,369)</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(12,284)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(39,334)</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(42,629)</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(1,689)</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23,322</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-2416810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-1576705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-744855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(publ)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(publ)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(publ) for the three and nine months ended September 30, 2026 and 2025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2025,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February 2026, the European Union endorsed IFRS 18 Presentation and Disclosure in Financial Statements (“IFRS 18”), which is effective for annual reporting periods beginning on or after January 1, 2027. The Group’s implementation of IFRS 18 is ongoing. Based on the assessment performed to date, the standard is expected to primarily affect the presentation of the consolidated statement of operations through the reclassification of certain income and expenses between the operating, investing and financing categories, as well as through the introduction of new required subtotals. In addition, consequential amendments to IAS 7 Statement of Cash Flows will affect the presentation of the consolidated statement of cash flows, including the starting point for determining cash flows from operating activities under the indirect method and the classification of interest cash flows. The application of IFRS 18 is not expected to affect the Group’s profit or loss for the period. In addition, IFRS 18 will introduce new disclosure requirements for management-defined performance measures. The Group continues to assess the full impact of the standard on its presentation and disclosures.</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are no other IFRS® Accounting Standards as issued by the International Accounting Standards Board that are expected to have a material impact on the Group in the current or future reporting periods or on foreseeable future transactions, other than those included in the 2025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147,591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31,514</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(20,519)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(627)</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(373)</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(157)</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(2,160)</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30,743</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(4,468)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(504)</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(318)</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(494)</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(1,764)</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(1,582)</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428,690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192,953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91,413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(1,582)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88,076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(4,127)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(70,860)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(9,687)</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86,188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(8,464)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(78,172)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(30,364)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(37,851)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00" w:hanging="292"/>
        <w:spacing w:after="0"/>
        <w:tabs>
          <w:tab w:leader="none" w:pos="3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26" w:lineRule="exact"/>
        <w:rPr>
          <w:sz w:val="20"/>
          <w:szCs w:val="20"/>
          <w:color w:val="auto"/>
        </w:rPr>
      </w:pPr>
    </w:p>
    <w:p>
      <w:pPr>
        <w:ind w:right="60" w:firstLine="8"/>
        <w:spacing w:after="0" w:line="264" w:lineRule="auto"/>
        <w:tabs>
          <w:tab w:leader="none" w:pos="28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refers to intersegment revenue for sales of products from Europe &amp; International to Greater China and North America. Eliminations in 2025 refers to intersegment revenue for sales of products from Europe &amp; International to Greater China.</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ind w:right="38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 mainly consisting of non-cash impairments and cost for external consultants during 2026 and mainly cost for external consultants during 2025.</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114,955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302,501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332,595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5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187,506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181,008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95,128</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93,367</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58,425</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120,015</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173,141</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66,032</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147,245</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63,844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144,867</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74,095</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123,267</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334,142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125,430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492,978</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91,141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66,175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48,837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206,153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427,108</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192,953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91,413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276,536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407,434</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70,228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207,918</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349,125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-2622550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-2622550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-2622550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-1807845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-985520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-985520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91% and 90% of the Group’s revenue in the nine months ended September 30, 2026 and 2025,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2021, in connection with the initial public offering, the Company implemented an incentive award program,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Incentive Award Plan (the “2021 Plan”). The principal purpose of the 2021 Plan is to attract, retain and motivate selected</w:t>
      </w:r>
    </w:p>
    <w:p>
      <w:pPr>
        <w:sectPr>
          <w:pgSz w:w="11900" w:h="16838" w:orient="portrait"/>
          <w:cols w:equalWidth="0" w:num="1">
            <w:col w:w="11240"/>
          </w:cols>
          <w:pgMar w:left="320" w:top="765" w:right="3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employees, consultants and members of the Company’s board of directors (the “Board of Directors”) through the granting of share-based compensation awards and cash-based performance bonus awards from 2021 and onwards. On May 20, 2026, the annual general meeting of shareholders of the Company (the “2026 AGM”) resolved to increase the total number of ordinary shares reserved for grants under the 2021 Plan to 143,861,475 ordinary shares, which may be granted pursuant to a variety of share-based compensation awards, including, but not limited to, stock options and restricted stock units (“RSUs”). To secure the future delivery of ordinary shares and American depositary shares (“ADSs”) under the 2021 Plan, the Company’s shareholders resolved to issue a total of 143,861,475 warrants.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under the 2021 Plan, granted 1,409,218 RSUs, of which 350,453 were granted to members of key management, including the executive officers, and the Board of Directors. 687,883 RSUs vested during the period, of which 236,075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 Notwithstanding the foregoing, and as approved by the 2026 AGM, 54,936 of the RSUs that the Company granted to members of the Company’s Board of Directors during the nine months ended September 30, 2026, vested on May 31, 2026. These RSUs were granted as a one-time additional allocation to compensate certain members of the Board of Directors for a shortfall in equity-based awards in 2025.</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1,621,503</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1,409,218</w:t>
            </w:r>
          </w:p>
        </w:tc>
        <w:tc>
          <w:tcPr>
            <w:tcW w:w="2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(179,150)</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(687,883)</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2,163,688</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-591185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under the 2021 Plan, granted 316,598 new stock options, all of which were granted to key management. 144,236 stock options vested during the period, of which 84,771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Stock options granted prior to 2026 expire five years after vesting in relation to each installment, corresponding to a total term of six, seven and eight years for the respective installment. Stock options granted during 2026 will expire seven years after the date of grant.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464,838</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316,598</w:t>
            </w:r>
          </w:p>
        </w:tc>
        <w:tc>
          <w:tcPr>
            <w:tcW w:w="2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(6,709)</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(21,019)</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753,708</w:t>
            </w:r>
          </w:p>
        </w:tc>
        <w:tc>
          <w:tcPr>
            <w:tcW w:w="200" w:type="dxa"/>
            <w:vAlign w:val="bottom"/>
            <w:tcBorders>
              <w:bottom w:val="single" w:sz="8" w:color="CFF0FC"/>
            </w:tcBorders>
            <w:shd w:val="clear" w:color="auto" w:fill="CFF0FC"/>
          </w:tcPr>
          <w:p>
            <w:pPr>
              <w:spacing w:after="0"/>
              <w:rPr>
                <w:sz w:val="21"/>
                <w:szCs w:val="21"/>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as of September 30, 2026</w:t>
            </w:r>
          </w:p>
        </w:tc>
        <w:tc>
          <w:tcPr>
            <w:tcW w:w="2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321,646</w:t>
            </w:r>
          </w:p>
        </w:tc>
        <w:tc>
          <w:tcPr>
            <w:tcW w:w="200" w:type="dxa"/>
            <w:vAlign w:val="bottom"/>
          </w:tcPr>
          <w:p>
            <w:pPr>
              <w:spacing w:after="0"/>
              <w:rPr>
                <w:sz w:val="17"/>
                <w:szCs w:val="17"/>
                <w:color w:val="auto"/>
              </w:rPr>
            </w:pPr>
          </w:p>
        </w:tc>
        <w:tc>
          <w:tcPr>
            <w:tcW w:w="2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29.03</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-753745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2026 was $5.68 for the May 2026 grant date. 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ADS price at grant date, expected price volatility of the underlying ADS, the expected dividend yield, the risk-free interest rate for the term of the stock options and the correlations and volatilities of the peer group companies. The Company</w:t>
      </w:r>
    </w:p>
    <w:p>
      <w:pPr>
        <w:sectPr>
          <w:pgSz w:w="11900" w:h="16838" w:orient="portrait"/>
          <w:cols w:equalWidth="0" w:num="1">
            <w:col w:w="11240"/>
          </w:cols>
          <w:pgMar w:left="320" w:top="76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anticipate paying any cash dividends in the near future and therefore uses an expected dividend yield of zero in the option valuation model.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inputs to the Black-Scholes option-pricing model used for stock options granted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ADS price at grant date</w:t>
            </w:r>
          </w:p>
        </w:tc>
        <w:tc>
          <w:tcPr>
            <w:tcW w:w="3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ADSs (%)</w:t>
            </w:r>
          </w:p>
        </w:tc>
        <w:tc>
          <w:tcPr>
            <w:tcW w:w="3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1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$3.3 million for the three months ended September 30, 2026 (2025: $3.1 million) and $9.7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2026 (2025: $10.1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loans and borrowings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(14,102)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(42,087)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(44,838)</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(32,161)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(18,655)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w:t>
            </w: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(16,066)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(47,557)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(30,364)</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(70,062)</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Fair value changes on Convertible Notes (as defined below) contain the fair value changes less the coupon rate and changes in credit risk. The coupon rate on the Convertible Notes is 9.25%. Interest expenses on loan and borrowings for the three months ended September 30, 2026 and 2025 contain interest expense on Convertible Notes of $9.1 million and $9.3 million, respectively. Interest expenses on loan and borrowings for the nine months ended September 30, 2026 and 2025 contain interest expense on Convertible Notes of $26.9 million and $27.4 million, respectively. See Note 13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and Note 19</w:t>
      </w:r>
      <w:r>
        <w:rPr>
          <w:rFonts w:ascii="Times New Roman" w:cs="Times New Roman" w:eastAsia="Times New Roman" w:hAnsi="Times New Roman"/>
          <w:sz w:val="18"/>
          <w:szCs w:val="18"/>
          <w:i w:val="1"/>
          <w:iCs w:val="1"/>
          <w:color w:val="auto"/>
        </w:rPr>
        <w:t xml:space="preserve"> Interest-bearing Loans and Borrowings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Total tax expense for the three and nine months ended September 30, 2026, was $2.2 million and $2.7 million respectively. Total tax expense for each of the three and nine months ended September 30, 2025, was $0.9 million and $6.2 million, respectively. The effective tax rate for the three and nine months ended September 30, 2026, was 8.7% and 4.0%, respectively. The effective tax rate for three and nine months ended September 30, 2025, was 1.4% and 4.8%, respectively. The main drivers of the effective tax rate relate to non-recognition of deferred tax assets on tax losses and tax effect relating to foreign exchange effects recognized in other comprehensive income.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September 30, 2026, and December 31, 2025, is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118,048</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17,466</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10,763</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3,193</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149,470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(7,107)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(275)</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(22,134)</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(1,488)</w:t>
            </w: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(1,185)</w:t>
            </w:r>
          </w:p>
        </w:tc>
        <w:tc>
          <w:tcPr>
            <w:tcW w:w="12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(14,938)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(7,670)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(22,860)</w:t>
            </w:r>
          </w:p>
        </w:tc>
        <w:tc>
          <w:tcPr>
            <w:tcW w:w="0" w:type="dxa"/>
            <w:vAlign w:val="bottom"/>
          </w:tcPr>
          <w:p>
            <w:pPr>
              <w:spacing w:after="0"/>
              <w:rPr>
                <w:sz w:val="1"/>
                <w:szCs w:val="1"/>
                <w:color w:val="auto"/>
              </w:rPr>
            </w:pPr>
          </w:p>
        </w:tc>
      </w:tr>
      <w:tr>
        <w:trPr>
          <w:trHeight w:val="197"/>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3,904</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3,723</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137,747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2026</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118,048</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2,528</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3,093</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2,941</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126,610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-1388110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-1370965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-1388110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-1370965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-1370965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-1388110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-1370965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-1388110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-1079500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-1062355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-1079500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-1062355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-1079500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-1062355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-1079500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-1062355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-479425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-496570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-496570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-479425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2026, was $0.6 million (2025: $0.6 million). Amortization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was $2.7 million (2025: $2.7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September 30, 2026, and December 31, 2025, is as follows:</w:t>
      </w: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42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113,151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313,567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(4,134)</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(10,880)</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110,449</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317,440</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32,629</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460,518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(26,039)</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(120,016)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(18,390)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(164,445)</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(5,406)</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(21,436)</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(26,842)</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(31,248)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(137,243)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(19,008)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(187,499)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87,112</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193,551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2026</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79,201</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180,197</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13,621</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273,019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-1525270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-1508125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-1525270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-1508125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-1525270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-1508125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-1216660</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-1216660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-1199515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-642620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-642620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-642620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-334010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-334010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680" w:hanging="223"/>
        <w:spacing w:after="0"/>
        <w:tabs>
          <w:tab w:leader="none" w:pos="6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Relates to the strategic review of the Greater China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2026, was $8.9 million (2025: $8.7 million). Depreciation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was $26.8 million (2025: $24.5 million).</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additions during the nine months ended September 30, 2026, are mainly related to investments in the Landskrona, Sweden, production facility.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54,852</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27,054</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(4,091)</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51,313</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24,099</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75,412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(28,260)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(15,739)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(5,539)</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(2,797)</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(1)</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(30,738)</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(15,192)</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(45,930)</w:t>
            </w: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26,592</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11,315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2026</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20,575</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8,907</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29,482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-1670685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-1670685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-1362075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-1362075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-479425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-479425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00" w:hanging="243"/>
        <w:spacing w:after="0"/>
        <w:tabs>
          <w:tab w:leader="none" w:pos="7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Relates to the strategic review of the Greater China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2026, was $2.8 million (2025: $2.9 million). Depreciation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was $8.3 million (2025: $8.5 million).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ectPr>
          <w:pgSz w:w="11900" w:h="16838" w:orient="portrait"/>
          <w:cols w:equalWidth="0" w:num="1">
            <w:col w:w="11240"/>
          </w:cols>
          <w:pgMar w:left="320" w:top="765"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7620</wp:posOffset>
            </wp:positionV>
            <wp:extent cx="12255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2,799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8,397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5,675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10,471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36,442</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b w:val="1"/>
          <w:bCs w:val="1"/>
          <w:color w:val="auto"/>
        </w:rPr>
        <w:t>28,176</w:t>
      </w:r>
    </w:p>
    <w:p>
      <w:pPr>
        <w:spacing w:after="0" w:line="200" w:lineRule="exact"/>
        <w:rPr>
          <w:sz w:val="20"/>
          <w:szCs w:val="20"/>
          <w:color w:val="auto"/>
        </w:rPr>
      </w:pPr>
    </w:p>
    <w:p>
      <w:pPr>
        <w:spacing w:after="0" w:line="2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17,329</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b w:val="1"/>
          <w:bCs w:val="1"/>
          <w:color w:val="auto"/>
        </w:rPr>
        <w:t>28,176</w:t>
      </w:r>
    </w:p>
    <w:p>
      <w:pPr>
        <w:spacing w:after="0" w:line="200" w:lineRule="exact"/>
        <w:rPr>
          <w:sz w:val="20"/>
          <w:szCs w:val="20"/>
          <w:color w:val="auto"/>
        </w:rPr>
      </w:pPr>
    </w:p>
    <w:p>
      <w:pPr>
        <w:sectPr>
          <w:pgSz w:w="11900" w:h="16838" w:orient="portrait"/>
          <w:cols w:equalWidth="0" w:num="2">
            <w:col w:w="8840" w:space="720"/>
            <w:col w:w="1680"/>
          </w:cols>
          <w:pgMar w:left="320" w:top="765" w:right="339" w:bottom="1440" w:gutter="0" w:footer="0" w:header="0"/>
          <w:type w:val="continuous"/>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Group has the following lease agreements, which had not commenced as of September 30, 2026, but to which the Group is committed:</w:t>
      </w:r>
    </w:p>
    <w:p>
      <w:pPr>
        <w:sectPr>
          <w:pgSz w:w="11900" w:h="16838" w:orient="portrait"/>
          <w:cols w:equalWidth="0" w:num="1">
            <w:col w:w="11240"/>
          </w:cols>
          <w:pgMar w:left="320" w:top="765" w:right="33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47" w:lineRule="exact"/>
        <w:rPr>
          <w:sz w:val="20"/>
          <w:szCs w:val="20"/>
          <w:color w:val="auto"/>
        </w:rPr>
      </w:pPr>
    </w:p>
    <w:p>
      <w:pPr>
        <w:ind w:left="1020" w:right="1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office in London, UK, under which the Group’s obligations collectively amount to $4.9 million for a term of five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27,990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4,375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48,872</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46,992</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2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Derivatives consist of interest rate cap and embedded derivatives related to the Company’s Nordic Bonds (as defined below). See Note 19 </w:t>
      </w:r>
      <w:r>
        <w:rPr>
          <w:rFonts w:ascii="Times New Roman" w:cs="Times New Roman" w:eastAsia="Times New Roman" w:hAnsi="Times New Roman"/>
          <w:sz w:val="18"/>
          <w:szCs w:val="18"/>
          <w:i w:val="1"/>
          <w:iCs w:val="1"/>
          <w:color w:val="auto"/>
        </w:rPr>
        <w:t xml:space="preserve">Interest-bearing Loans and Borrowings </w:t>
      </w:r>
      <w:r>
        <w:rPr>
          <w:rFonts w:ascii="Times New Roman" w:cs="Times New Roman" w:eastAsia="Times New Roman" w:hAnsi="Times New Roman"/>
          <w:sz w:val="18"/>
          <w:szCs w:val="18"/>
          <w:color w:val="auto"/>
        </w:rPr>
        <w:t>for further details on the Nordic Bonds.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Notes (as defined below).</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September 30, 2026</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3,293</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346,363</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346,363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2025</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4,504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-1876425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-1859280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-1876425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-1859280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-616585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-616585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nine months ended September 30, 2026, and the year ended December 31, 2025.</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See Note 12 </w:t>
      </w:r>
      <w:r>
        <w:rPr>
          <w:rFonts w:ascii="Times New Roman" w:cs="Times New Roman" w:eastAsia="Times New Roman" w:hAnsi="Times New Roman"/>
          <w:sz w:val="18"/>
          <w:szCs w:val="18"/>
          <w:i w:val="1"/>
          <w:iCs w:val="1"/>
          <w:color w:val="auto"/>
        </w:rPr>
        <w:t>Other Non-current Receivables.</w:t>
      </w:r>
    </w:p>
    <w:p>
      <w:pPr>
        <w:spacing w:after="0" w:line="225"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 carrying amount of the Nordic Bonds (as defined below) in the Group is a reasonable approximation of fair value. See Note 19 </w:t>
      </w:r>
      <w:r>
        <w:rPr>
          <w:rFonts w:ascii="Times New Roman" w:cs="Times New Roman" w:eastAsia="Times New Roman" w:hAnsi="Times New Roman"/>
          <w:sz w:val="18"/>
          <w:szCs w:val="18"/>
          <w:i w:val="1"/>
          <w:iCs w:val="1"/>
          <w:color w:val="auto"/>
        </w:rPr>
        <w:t>Interest-bearing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2025</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comprehensive loss</w:t>
            </w: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(38,344)</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346,363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700" w:type="dxa"/>
            <w:vAlign w:val="bottom"/>
          </w:tcPr>
          <w:p>
            <w:pPr>
              <w:spacing w:after="0"/>
              <w:rPr>
                <w:sz w:val="24"/>
                <w:szCs w:val="24"/>
                <w:color w:val="auto"/>
              </w:rPr>
            </w:pP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346,363</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490,873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(144,510)</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(157,728)</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3"/>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(as defined below). Market conditions which give rise to market risk include changes in the benchmark interest rate. Fair value movements on the conversion option embedded derivative are included in the assessment of market risk fair value changes.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September 30,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FF0FC"/>
          </w:tcPr>
          <w:p>
            <w:pPr>
              <w:spacing w:after="0"/>
              <w:rPr>
                <w:sz w:val="18"/>
                <w:szCs w:val="18"/>
                <w:color w:val="auto"/>
              </w:rPr>
            </w:pPr>
          </w:p>
        </w:tc>
      </w:tr>
    </w:tbl>
    <w:p>
      <w:pPr>
        <w:jc w:val="both"/>
        <w:ind w:right="140" w:firstLine="8"/>
        <w:spacing w:after="0" w:line="269"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see Note 19 </w:t>
      </w:r>
      <w:r>
        <w:rPr>
          <w:rFonts w:ascii="Times New Roman" w:cs="Times New Roman" w:eastAsia="Times New Roman" w:hAnsi="Times New Roman"/>
          <w:sz w:val="16"/>
          <w:szCs w:val="16"/>
          <w:i w:val="1"/>
          <w:iCs w:val="1"/>
          <w:color w:val="auto"/>
        </w:rPr>
        <w:t>Interest-bearing Loans and Borrowings.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335,763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322,377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360,230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346,524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341,261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327,779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336,942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345,923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332,581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333,707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340,451</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341,192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326,065</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19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16,638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12,326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64,063</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80,701</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68,537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September 30, 2026, amounted to $150.7 million (2025: $147.9 million). Inventories recognized as an expense for the nine months ended September 30, 2026, amounted to $441.6 million (2025: $408.7 million). The expenses were included in cost of goods sold.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September 30, 2026, amounted to $2.5 million (2025: $1.3 million). Write-downs of inventories to net realizable value for the nine months ended September 30, 2026, amounted to $4.8 million (2025: $5.7 million). The write-downs were recognized as an expense for each period and included in cost of goods sold.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101,382</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104,817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100,583</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33,833</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30,788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18,908</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17,669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20,116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4,430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100,583</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5,219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7,604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13,146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64,345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May 2021 and May 2026, the shareholders resolved to issue 69,496,515 and 74,364,960 warrants, respectively, to secure the future delivery of ordinary shares under the 2021 Plan. During May and June 2026, the Company exercised 13,757,320 warrants (May 2025: 8,452,360 warrants, May 2024: 3,667,255 warrants, May 2023: 2,882,164 warrants, and May 2022: 650,000 warrants). As of September 30, 2026, and December 31, 2025, there were 114,452,376 and 53,844,736 warrants outstanding, respectively.</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and June 2026, 13,757,320 ordinary shares were allotted and issued. During the nine months ended September 30, 2026, the equivalent of 13,751,520 ordinary shares have been delivered to participants under the 2021 Plan in the form of ADSs. The remaining balance is held as treasury shares to enable the Company’s timely delivery of ordinary shares upon the exercise of outstanding stock options and to meet future vesting of the RSUs.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638,251,521 and 624,500,001 ordinary shares, respectively were outstanding, and the par value per share was $0.00018 (SEK 0.0015). The Company had 897,259 and 891,459 treasury shares as of September 30, 2026, and December 31, 2025,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other contributed capital of $1,641.6 million, at each respective date, consists of share premium, shareholders contribution and proceeds from warrant issues and exercise of stock options.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September 30, 2026 other reserves of $(233.7) million consists of fair value reserve of $(80.0) million related to fair value gains and losses on the Convertible Notes (as defined below) attributable to changes in the Group’s credit risk, and foreign currency translation reserve of $(153.7) million primarily related to the exchange differences occurring from the translation of foreign operations in another currency than the reporting currency of the Group (USD).</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2025, other reserves of $(225.4) million consists of fair value reserve of $(80.0) million related to fair value gains and losses on the Convertible Notes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accumulated deficit of $(1,458.9) million and $(1,397.8)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September 30, 2026, and December 31, 2025, non-controlling interests amounted to $1.0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Interest-bearing Loans and Borrowings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interest-bearing loans and borrowings</w:t>
            </w: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20" w:type="dxa"/>
            <w:vAlign w:val="bottom"/>
          </w:tcPr>
          <w:p>
            <w:pPr>
              <w:spacing w:after="0"/>
              <w:rPr>
                <w:sz w:val="18"/>
                <w:szCs w:val="18"/>
                <w:color w:val="auto"/>
              </w:rPr>
            </w:pPr>
          </w:p>
        </w:tc>
      </w:tr>
      <w:tr>
        <w:trPr>
          <w:trHeight w:val="25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interest-bearing loans and borrowings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168,830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182,783</w:t>
            </w:r>
          </w:p>
        </w:tc>
        <w:tc>
          <w:tcPr>
            <w:tcW w:w="120" w:type="dxa"/>
            <w:vAlign w:val="bottom"/>
            <w:shd w:val="clear" w:color="auto" w:fill="CFF0FC"/>
          </w:tcPr>
          <w:p>
            <w:pPr>
              <w:spacing w:after="0"/>
              <w:rPr>
                <w:sz w:val="21"/>
                <w:szCs w:val="21"/>
                <w:color w:val="auto"/>
              </w:rPr>
            </w:pPr>
          </w:p>
        </w:tc>
      </w:tr>
      <w:tr>
        <w:trPr>
          <w:trHeight w:val="412"/>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interest-bearing loans and borrowings</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346,363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interest-bearing loans and borrowings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354,346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340,266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523,176</w:t>
            </w:r>
          </w:p>
        </w:tc>
        <w:tc>
          <w:tcPr>
            <w:tcW w:w="2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523,049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-1045210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3" w:lineRule="auto"/>
        <w:rPr>
          <w:sz w:val="20"/>
          <w:szCs w:val="20"/>
          <w:color w:val="auto"/>
        </w:rPr>
      </w:pPr>
      <w:r>
        <w:rPr>
          <w:rFonts w:ascii="Times New Roman" w:cs="Times New Roman" w:eastAsia="Times New Roman" w:hAnsi="Times New Roman"/>
          <w:sz w:val="18"/>
          <w:szCs w:val="18"/>
          <w:color w:val="auto"/>
        </w:rPr>
        <w:t>As of September 30, 2026, interest-bearing loans and borrowing amounted to $523.2 million and was related to the Nordic Bonds, the Convertible Notes, and utilized amounts on the CMB Credit Facility (each as defined below). As of December 31, 2025, interest-bearing loans and borrowing amounted to $523.0 million and was related to the Nordic Bonds, the Convertible Notes, and utilized amounts on the CMB Credit Facility (each as defined below).</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SEK denominated senior secured floating rate bonds (the “Nordic Bonds”) under the terms and conditions entered into by the Company with Nordic Trustee &amp; Agency AB (publ) on September 29, 2025. The Nordic Bonds had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w:t>
      </w:r>
    </w:p>
    <w:p>
      <w:pPr>
        <w:sectPr>
          <w:pgSz w:w="11900" w:h="16838" w:orient="portrait"/>
          <w:cols w:equalWidth="0" w:num="1">
            <w:col w:w="11240"/>
          </w:cols>
          <w:pgMar w:left="320" w:top="765"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used to prepay the Term Loan B Credit Agreement in full, repurchase and cancel certain of the U.S. Notes (as defined below) and pay related transaction costs. The Nordic Bonds accrue interest at an interest rate equal to 3-month STIBOR plus 7.00 per cent. per annum applied to the nominal amount of the Nordic Bonds. The material terms of the Nordic Bonds include, among other things, (i) a mandatory total redemption of the Nordic Bonds on or before June 14, 2028, unless certain thresholds in respect of repurchase of Convertible Notes have been met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pari passu with the Nordic Bonds or is subordinated to the Nordic Bonds, (iv) a distribution incurrence test (total net leverage ratio of the Group shall be equal to or less than 2.75:1, pro forma for the payment) which applies in respect of certain distributions by the Company to its shareholders, including dividends, and (v) other negative covenants such as restrictions on indebtedness, liens and asset disposals. As of September 30, 2026, the Group had SEK 1,723 million (equivalent of $172.4 million) outstanding under the Nordic Bonds, including accrued interest. As of December 31, 2025, the Group had SEK 1,716 million (equivalent of $187.1 million) outstanding under the Nordic Bonds, including accrued interest.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Nordic Bonds are denominated in SEK and the issuer within the Group is Oatly Group AB (publ) with a functional currency of USD. The Group is therefore exposed to currency risk USD/SEK. If the rate would increase by 10% the impact on loss before tax for nine months ended September 30, 2026, would be $15.4 million. If the rate would decrease by 10% the impact on loss before tax for nine months ended September 30, 2026, would be $18.8 million.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nine months ended September 30, 2026, would be $0.6 million. If variable interest decreased by 100 basis points the impact on loss before tax for the nine months ended September 30, 2026, would be $1.2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Liabilities to Credit Institutions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September 30, 2026, the Group had utilized loan amounts of RMB 30.0 million (equivalent of $4.4 million) under the CMB Credit Facility. As of December 31, 2025, the Group had utilized loan amounts of RMB 20.0 million (equivalent of $2.8 million) under the CMB Credit Facility.</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September 30, 2026, the Group had access to $72.1 million in undrawn SSRCF commitments.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w:t>
      </w:r>
    </w:p>
    <w:p>
      <w:pPr>
        <w:sectPr>
          <w:pgSz w:w="11900" w:h="16838" w:orient="portrait"/>
          <w:cols w:equalWidth="0" w:num="1">
            <w:col w:w="11240"/>
          </w:cols>
          <w:pgMar w:left="320" w:top="765"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U.S. Notes, the “Original Convertible Notes” and the Original Convertible Notes, together with the HH Notes (as defined below), the “Convertible Notes”). The U.S. Notes and the Swedish Notes have substantially identical economic terms.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a new intercreditor agreement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October 3, 2025, the Company completed a series of privately negotiated repurchases and cancellations of an aggregate amount of $42.9 million U.S. Notes in exchange for $24.6 million in cash and 898,134 ADSs.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09"/>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20,060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period</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(14,958)</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49"/>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2026</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20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restructuring provisions are primarily related to exit costs for the closure of the production facility in Singapore in 2024. The remaining amounts relating to the closure of the facility are expected to be paid throughout 2026 and into the first quarter of 2027.</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also recorded provisions related to organizational restructuring.</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Group had $11.5 million in cash outflows relating to the closure of the production facility in Singapore, $2.6 million in cash outflows relating to organizational restructuring and $0.8 million in cash outflows relating to the strategic review of the Greater China business.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Trade Payables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67,591</w:t>
            </w: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subject to supplier financing arrangements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62,947</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40"/>
              <w:spacing w:after="0" w:line="216" w:lineRule="exact"/>
              <w:rPr>
                <w:sz w:val="20"/>
                <w:szCs w:val="20"/>
                <w:color w:val="auto"/>
              </w:rPr>
            </w:pPr>
            <w:r>
              <w:rPr>
                <w:rFonts w:ascii="Times New Roman" w:cs="Times New Roman" w:eastAsia="Times New Roman" w:hAnsi="Times New Roman"/>
                <w:sz w:val="18"/>
                <w:szCs w:val="18"/>
                <w:color w:val="auto"/>
              </w:rPr>
              <w:t>Subject to supplier financing arrangements</w:t>
            </w:r>
            <w:r>
              <w:rPr>
                <w:rFonts w:ascii="Times New Roman" w:cs="Times New Roman" w:eastAsia="Times New Roman" w:hAnsi="Times New Roman"/>
                <w:sz w:val="24"/>
                <w:szCs w:val="24"/>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67,591</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66,481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(1) Trade payables included $3.6 million (2025: $0 million) that the supplier has chosen to early-fund.</w:t>
            </w: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00" w:type="dxa"/>
            <w:vAlign w:val="bottom"/>
          </w:tcPr>
          <w:p>
            <w:pPr>
              <w:spacing w:after="0"/>
              <w:rPr>
                <w:sz w:val="24"/>
                <w:szCs w:val="24"/>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24"/>
                <w:szCs w:val="24"/>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36,376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32,322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28,222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28,709</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17,558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7,920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125,962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107,932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September 30, 2026, the fair value of the outstanding Convertible Notes to related parties amounted to $189.3 million. The Convertible Notes were issued with the terms and conditions described in Note 19 </w:t>
      </w:r>
      <w:r>
        <w:rPr>
          <w:rFonts w:ascii="Times New Roman" w:cs="Times New Roman" w:eastAsia="Times New Roman" w:hAnsi="Times New Roman"/>
          <w:sz w:val="18"/>
          <w:szCs w:val="18"/>
          <w:i w:val="1"/>
          <w:iCs w:val="1"/>
          <w:color w:val="auto"/>
        </w:rPr>
        <w:t>Interest-bearing Loans and Borrowings.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9" w:lineRule="exact"/>
        <w:rPr>
          <w:sz w:val="20"/>
          <w:szCs w:val="20"/>
          <w:color w:val="auto"/>
        </w:rPr>
      </w:pPr>
    </w:p>
    <w:p>
      <w:pPr>
        <w:jc w:val="both"/>
        <w:ind w:right="20" w:firstLine="449"/>
        <w:spacing w:after="0" w:line="278"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9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 attributable to the shareholders of the parent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(27,458)</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(65,287)</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(70,747)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(133,628)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638,254,231</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606,332,281</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630,675,537</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(0.04)</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(0.11)</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(0.22)</w:t>
            </w:r>
          </w:p>
        </w:tc>
        <w:tc>
          <w:tcPr>
            <w:tcW w:w="0" w:type="dxa"/>
            <w:vAlign w:val="bottom"/>
          </w:tcPr>
          <w:p>
            <w:pPr>
              <w:spacing w:after="0"/>
              <w:rPr>
                <w:sz w:val="1"/>
                <w:szCs w:val="1"/>
                <w:color w:val="auto"/>
              </w:rPr>
            </w:pPr>
          </w:p>
        </w:tc>
      </w:tr>
      <w:tr>
        <w:trPr>
          <w:trHeight w:val="178"/>
        </w:trPr>
        <w:tc>
          <w:tcPr>
            <w:tcW w:w="56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number of ADSs (1 ADS representing 20 ordinary</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31,912,712</w:t>
            </w:r>
          </w:p>
        </w:tc>
        <w:tc>
          <w:tcPr>
            <w:tcW w:w="260" w:type="dxa"/>
            <w:vAlign w:val="bottom"/>
            <w:tcBorders>
              <w:top w:val="single" w:sz="8" w:color="CFF0FC"/>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30,316,614</w:t>
            </w:r>
          </w:p>
        </w:tc>
        <w:tc>
          <w:tcPr>
            <w:tcW w:w="220" w:type="dxa"/>
            <w:vAlign w:val="bottom"/>
            <w:tcBorders>
              <w:top w:val="single" w:sz="8" w:color="CFF0FC"/>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31,533,777</w:t>
            </w:r>
          </w:p>
        </w:tc>
        <w:tc>
          <w:tcPr>
            <w:tcW w:w="220" w:type="dxa"/>
            <w:vAlign w:val="bottom"/>
            <w:tcBorders>
              <w:top w:val="single" w:sz="8" w:color="CFF0FC"/>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30,102,880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2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(0.86)</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-1031875</wp:posOffset>
            </wp:positionV>
            <wp:extent cx="93980" cy="162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-1031875</wp:posOffset>
            </wp:positionV>
            <wp:extent cx="93980" cy="162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-462280</wp:posOffset>
            </wp:positionV>
            <wp:extent cx="774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-445135</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-462280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-462280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-445135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3"/>
                <w:szCs w:val="13"/>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43,273,760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33,696,800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43,273,760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33,696,800</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15,074,160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9,576,620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15,074,160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9,576,620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00" w:type="dxa"/>
            <w:vAlign w:val="bottom"/>
            <w:shd w:val="clear" w:color="auto" w:fill="CFF0FC"/>
          </w:tcPr>
          <w:p>
            <w:pPr>
              <w:spacing w:after="0"/>
              <w:rPr>
                <w:sz w:val="18"/>
                <w:szCs w:val="18"/>
                <w:color w:val="auto"/>
              </w:rPr>
            </w:pPr>
          </w:p>
        </w:tc>
      </w:tr>
    </w:tbl>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potential dilutive shares from the Convertible Notes are calculated assuming the most advantageous conversion price from the standpoint of the holder</w:t>
      </w:r>
    </w:p>
    <w:p>
      <w:pPr>
        <w:spacing w:after="0" w:line="12" w:lineRule="exact"/>
        <w:rPr>
          <w:rFonts w:ascii="Times New Roman" w:cs="Times New Roman" w:eastAsia="Times New Roman" w:hAnsi="Times New Roman"/>
          <w:sz w:val="16"/>
          <w:szCs w:val="16"/>
          <w:color w:val="auto"/>
        </w:rPr>
      </w:pPr>
    </w:p>
    <w:p>
      <w:pPr>
        <w:ind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19 </w:t>
      </w:r>
      <w:r>
        <w:rPr>
          <w:rFonts w:ascii="Times New Roman" w:cs="Times New Roman" w:eastAsia="Times New Roman" w:hAnsi="Times New Roman"/>
          <w:sz w:val="16"/>
          <w:szCs w:val="16"/>
          <w:i w:val="1"/>
          <w:iCs w:val="1"/>
          <w:color w:val="auto"/>
        </w:rPr>
        <w:t>Interest-bearing Loans and Borrowings</w:t>
      </w:r>
      <w:r>
        <w:rPr>
          <w:rFonts w:ascii="Times New Roman" w:cs="Times New Roman" w:eastAsia="Times New Roman" w:hAnsi="Times New Roman"/>
          <w:sz w:val="16"/>
          <w:szCs w:val="16"/>
          <w:color w:val="auto"/>
        </w:rPr>
        <w: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nine months ended September 30, 2026, volume adjustments related to co-packer arrangements in Europe &amp; International and North America resulted in volume shortfall expenses of $7.1 million. The shortfall expenses are presented in cost of goods sold in the consolidated statement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The future cash outflows relating to leases that have not yet commenced are disclosed in Note 11 </w:t>
      </w:r>
      <w:r>
        <w:rPr>
          <w:rFonts w:ascii="Times New Roman" w:cs="Times New Roman" w:eastAsia="Times New Roman" w:hAnsi="Times New Roman"/>
          <w:sz w:val="17"/>
          <w:szCs w:val="17"/>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2025 (our “2025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2025 Annual Report, the risk factors set forth in this Report on Form 6-K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production facilities, and damage or disruption at these facilities has in the past harmed, and may in the future harm,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the loss of a significant customer or the decrease of sales from a significant customer, could negatively impact our sales and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and a reduction in such sales would have an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largely an asset-light business model, blending a heavy reliance on our co-manufacturing partners in addition to in house capacity expansions where appropriate;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partnerships with our co-manufacturers may not be successful, which could adversely affect our operations and manufacturing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 could result in lost sales;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or our co-manufacturing partners’ facilities, or these facilities may not operate in accordance with our expectations;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8" w:name="page29"/>
    <w:bookmarkEnd w:id="28"/>
    <w:p>
      <w:pPr>
        <w:ind w:left="503" w:right="4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our brand, our business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introduce new products or successfully improve existing products may adversely affect our ability to continue to grow;</w:t>
      </w:r>
    </w:p>
    <w:p>
      <w:pPr>
        <w:spacing w:after="0" w:line="117" w:lineRule="exact"/>
        <w:rPr>
          <w:rFonts w:ascii="Times New Roman" w:cs="Times New Roman" w:eastAsia="Times New Roman" w:hAnsi="Times New Roman"/>
          <w:sz w:val="18"/>
          <w:szCs w:val="18"/>
          <w:color w:val="auto"/>
        </w:rPr>
      </w:pPr>
    </w:p>
    <w:p>
      <w:pPr>
        <w:ind w:left="503" w:right="320" w:hanging="503"/>
        <w:spacing w:after="0" w:line="312" w:lineRule="auto"/>
        <w:tabs>
          <w:tab w:leader="none" w:pos="50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31" w:lineRule="exact"/>
        <w:rPr>
          <w:rFonts w:ascii="Times New Roman" w:cs="Times New Roman" w:eastAsia="Times New Roman" w:hAnsi="Times New Roman"/>
          <w:sz w:val="17"/>
          <w:szCs w:val="17"/>
          <w:color w:val="auto"/>
        </w:rPr>
      </w:pPr>
    </w:p>
    <w:p>
      <w:pPr>
        <w:ind w:left="503" w:right="2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including maintenance of our workforce, our business, financial condition and results of operations could be materially adversely affected;</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systems and any inadequacy, failure or interruption of, or cybersecurity incidents affecting, those systems may harm our reputation and ability to effectively operate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remain competitive, we believe we will need to adopt artificial intelligence and other machine learning technologies;</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agreements do not contain long-term commitments and do not require our customers to continue purchasing products from us and this may negatively impact our business or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as we expand our operations into countries in which we have no prior operating experience;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review of our Greater China business may not be timely or successful;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China could expose us to substantial business, regulatory, political, financial and economic risks;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nature of our business subjects us to additional global economic and geopolitical risks;</w:t>
      </w:r>
    </w:p>
    <w:p>
      <w:pPr>
        <w:spacing w:after="0" w:line="11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trade compliance and economic sanctions laws and regulations of the United States (the “U.S”), the EU and other applicable international jurisdictions, it could materially adversely affect our reputation and results of operations;</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debt agreements contain a floating interest rate component and as a result, an increase in market interest rates will increase our future interest payments under such agreements;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the risk of fluctuations in currency exchange rates;</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cash and cash equivalents at financial institutions, often in amounts exceeding insured limits, and the failure of one or more of these institutions could result in a loss of deposits and adversely affect our liquidity or ability to raise capital;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costs are volatile and may rise significantly, which may negatively impact the profitability of our business;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 may impact, and may have a disproportionate effect on, our overall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or the threat of litigation or legal proceedings, could expose us to significant liabilities or costs and have a negative impact on our reputation or business;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5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07" w:right="359" w:bottom="1440" w:gutter="0" w:footer="0" w:header="0"/>
        </w:sectPr>
      </w:pPr>
    </w:p>
    <w:bookmarkStart w:id="29" w:name="page30"/>
    <w:bookmarkEnd w:id="29"/>
    <w:p>
      <w:pPr>
        <w:ind w:left="503" w:right="16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qualified employees may adversely affect our operations or our ability to grow successfully;</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or focus on our mission as we grow, our success and our business and competitive position may be harmed;</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provide adequate levels of coverage against claims or we may be unable to find insurance with sufficient coverage at a reasonable cost;</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international tariffs and trade wars, rising inflation, interest rates and supply chain constraints;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to organizations with international operations, which could harm our business, and global conflicts, including the ongoing conflict in the Middle East;</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government investigations or other regulatory enforcement actions could subject us to civil and criminal penalties;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 China and other laws and regulations, and there is no assurance that we will be in compliance with all applicable laws and regulations;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Although we have remediated these material weaknesses, if other material weaknesses in internal controls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the market price of our ADSs have been, and may be, volatile, and you may lose all or part of your investment;</w:t>
      </w:r>
    </w:p>
    <w:p>
      <w:pPr>
        <w:spacing w:after="0" w:line="117"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are subject to Exchange Act reporting obligations that, to some extent, are more lenient and less frequent than those of a U.S. domestic public company, however the U.S. SEC is re-evaluating its disclosure rules for foreign private issuers;</w:t>
      </w:r>
    </w:p>
    <w:p>
      <w:pPr>
        <w:spacing w:after="0" w:line="67" w:lineRule="exact"/>
        <w:rPr>
          <w:rFonts w:ascii="Times New Roman" w:cs="Times New Roman" w:eastAsia="Times New Roman" w:hAnsi="Times New Roman"/>
          <w:sz w:val="18"/>
          <w:szCs w:val="18"/>
          <w:color w:val="auto"/>
        </w:rPr>
      </w:pPr>
    </w:p>
    <w:p>
      <w:pPr>
        <w:ind w:left="503" w:right="6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or future changes to the U.S. SEC’s rules and regulations may change the reporting requirements for foreign private issuers, which could result in significant additional costs and expenses;</w:t>
      </w:r>
    </w:p>
    <w:p>
      <w:pPr>
        <w:spacing w:after="0" w:line="53"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of ADSs may be subject to limitations on transfer of their ADSs;</w:t>
      </w:r>
    </w:p>
    <w:p>
      <w:pPr>
        <w:spacing w:after="0" w:line="117" w:lineRule="exact"/>
        <w:rPr>
          <w:rFonts w:ascii="Times New Roman" w:cs="Times New Roman" w:eastAsia="Times New Roman" w:hAnsi="Times New Roman"/>
          <w:sz w:val="18"/>
          <w:szCs w:val="18"/>
          <w:color w:val="auto"/>
        </w:rPr>
      </w:pPr>
    </w:p>
    <w:p>
      <w:pPr>
        <w:ind w:left="503" w:right="70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may not be entitled to a jury trial with respect to claims arising under the deposit agreement, which could result in less favorable outcomes to the plaintiff(s) in any such action;</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ADSs or ordinary shares have limited choice of forum, which could limit your ability to obtain a favorable judicial forum for complaints against us, the depositary or our respective directors, officers or employees;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issued and outstanding ADSs are eligible to be sold into the market, which could cause the market price of our ADSs to drop significantly, even if our business is doing well;</w:t>
      </w:r>
    </w:p>
    <w:p>
      <w:pPr>
        <w:spacing w:after="0" w:line="15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07" w:right="359" w:bottom="1440" w:gutter="0" w:footer="0" w:header="0"/>
        </w:sectPr>
      </w:pPr>
    </w:p>
    <w:bookmarkStart w:id="30" w:name="page31"/>
    <w:bookmarkEnd w:id="30"/>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face difficulties in protecting their interests because we are a Swedish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difficulties in enforcing foreign judgments against us, and our directors or our management;</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Oatly Group AB (publ) is a holding company with no operations of its own and, as such, it depends on its subsidiaries for cash to fund its operations and expenses, including future dividend payments, if any;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treated as a passive foreign investment company, U.S. holders of our ordinary shares or ADSs subject to U.S. federal income tax may suffer material adverse tax consequences;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person is treated as owning at least 10% of our shares, such holder may be subject to adverse U.S. federal income tax consequences;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provisions of the Convertible Notes may delay or prevent an otherwise beneficial asset disposition or takeover attempt of us;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Convertible Notes may dilute the ownership interests of holders of our ADSs or ordinary shares and may adversely impact the value of such securities;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arbitrage or hedging strategies by purchasers of the Convertible Notes may affect the value of our ordinary shares and the conversion price for the Convertible Notes may negatively impact the value of our ADSs;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an active or liquid market for our ADSs will be sustained, and volatility in the public trading markets could prevent investors from reselling their ADSs at or above the price they paid;</w:t>
      </w:r>
    </w:p>
    <w:p>
      <w:pPr>
        <w:spacing w:after="0" w:line="53"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our business or our market, or if they change their recommendations regarding our ADSs adversely, the price and trading volume of our ADSs could decline;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increased costs as a result of operating as a public company, and our management is required to devote substantial time to new compliance initiatives and corporate governance practices.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alternatives to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 on Organizational Structure</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Review of Greater China Business</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2025, we initiated a strategic review of our Greater China business. The review is considering a range of options, including a potential carve-out of the Greater China segment, with the goal of accelerating growth and maximizing the value of the business. We continue to operate in the Greater China market, including operating our production facility, and we remain committed to our customers, consumers, and employees as we look to maximize the value of this part of the business. While there is no definitive timetable for completing the strategic review, we expect to complete the strategic review within 2026. We do not intend to provide further updates unless and until the Board of Directors approves a specific course of action or determines that additional disclosure is appropriate or required. We caution that there can be no assurances that the process will result in any transaction or strategic change.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tariffs and the current trade war, and foreign exchange impacts, as exemplified by the ongoing conflict in the Middle East. We continue to maintain a global focus on the controllable aspects of the business, and will continue to actively monitor and respond accordingly to the macroeconomic environment.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2025 Annual Report.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coffee shops, e-commerce channels, and other specialty providers within the foodservice industry.</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Germany, the United Kingdom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nine months ended September 30, 2026, on a consolidated level, oatmilk accounted for 91% of our revenue as compared to 90% for the same period in 2025.</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2" w:name="page33"/>
    <w:bookmarkEnd w:id="32"/>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54"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reach to attract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strong velocities.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offerings through new product development within existing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margin has benefited from dilution of fixed costs, supply chain efficiencies and the localization of production capacity closer to our customers and consumers. Over time, we expect to further improve our manufacturing operational performance and leverage the cost of our fixed production and staff costs, including a higher focus on procurement efficiencies through scale of purchasing and diversification of suppliers.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2"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the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and net foreign exchange gains (losses) on operating related activities.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interest expenses related to interest-bearing loans and borrowings,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334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(160,072)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(156,449)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(470,788)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(432,378)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82,982</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240,686</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(13,520)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(85,320)</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(75,146)</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(263,470)</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(236,755)</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income and</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(3,601)</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(3,658)</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(9,189)</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(37,849)</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(57,631)</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(16,066)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(47,557)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(70,062)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(6,188)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(27,453)</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(70,918)</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(133,881)</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(27,458)</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(65,287)</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(70,747)</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(133,628)</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2026</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$20.3 million, or 9.1%, to $243.1 million for the three months ended September 30, 2026, net of sales discounts, rebates and trade promotions, compared to $222.8 million for the three months ended September 30, 2025. Excluding a foreign currency exchange tailwind of $0.5 million, revenue for the third quarter was $242.5 million, or an increase of 8.9% compared to the prior year period (refer to Non-IFRS Financial Measures section below for tables reconciling revenue as reported to revenue on a constant currency basis by segment). The growth in Constant Currency Revenue was driven by another quarter of accelerating growth in Europe &amp; International, growth in North America driven mainly by the retail channel, partially offset by volume decline in Greater China driven by competition in the foodservice channel. Sold volume for the three months ended September 30, 2026, amounted to 156.9 million liters compared to 150.6 million liters for the three months ended September 30, 2025. Produced finished goods volume for the third quarter of 2026 amounted to 164.9 million liters compared to 147.6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19.5% for the three months ended September 30, 2026, compared to the prior year period. In the three months ended September 30, 2026 and 2025, the retail channel accounted for 71.2% and 65.0% of our revenue, respectively, the foodservice channel accounted for 27.2% and 33.3% of our revenue, respectively, and the other channel, comprised primarily of e-commerce sales, accounted for 1.6% and 1.7% of our revenue, respectively.</w:t>
      </w:r>
    </w:p>
    <w:p>
      <w:pPr>
        <w:spacing w:after="0" w:line="180"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60.6%, 26.3% and 13.1% of our total revenue in the three months ended September 30, 2026, respectively, as compared to 55.3%, 27.9% and 16.8% of our total revenue in the three months ended September 30, 2025, respectively.</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Revenue increased $82.8 million, or 13.2%, to $711.5 million for the nine months ended September 30, 2026, net of sales discounts, rebates and trade promotions, compared to $628.7 million for the nine months ended September 30, 2025. Excluding a foreign currency exchange tailwind of $20.8 million, revenue was $690.7 million, or an increase of 9.9% compared to the prior year period (refer to Non-IFRS Financial Measures section below for tables reconciling revenue as reported to revenue on a constant currency basis by segment). The revenue growth was primarily driven by volume growth across the Europe &amp; International and North America segments, partially offset by volume decline in Greater China. Sold volume for the nine months ended September 30, 2026, amounted to 465.6 million liters compared to 435.5 million liters for the nine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ended September 30, 2025. Produced finished goods volume for the nine months ended September 30, 2026, amounted to 475.9 million liters compared to 433.4 million liters for the same period last year.</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21.0% for the nine months ended September 30, 2026, compared to the prior year period. In the nine months ended September 30, 2026 and 2025, the retail channel accounted for 69.3% and 64.8% of our revenue, respectively, the foodservice channel accounted for 29.0% and 33.1% of our revenue, respectively, and the other channel, comprised primarily of e-commerce sales, accounted for 1.7% and 2.1% of our revenue, respectively.</w:t>
      </w:r>
    </w:p>
    <w:p>
      <w:pPr>
        <w:spacing w:after="0" w:line="180" w:lineRule="exact"/>
        <w:rPr>
          <w:sz w:val="20"/>
          <w:szCs w:val="20"/>
          <w:color w:val="auto"/>
        </w:rPr>
      </w:pPr>
    </w:p>
    <w:p>
      <w:pPr>
        <w:jc w:val="both"/>
        <w:ind w:firstLine="508"/>
        <w:spacing w:after="0" w:line="266"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60.0%, 27.1% and 12.9% of our total revenue in the nine months ended September 30, 2026, respectively, as compared to 55.5%, 29.5% and 15.0% of our total revenue in the nine months ended September 30, 2025, respectively.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contributions from new markets. The revenue growth was assisted by positive price/mix impact as well as foreign exchange tailwinds. In North America, our sold volume and revenue increased primarily due to growth in the retail channel. Finally, Greater China revenue decline was explained mainly by competition in the foodservice channel, partially offset by growth in the retail channel.</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number of employees has increased by 6 employees, to 1,392 employees as of September 30, 2026, from 1,386 employees as of September 30, 2025. The average number of full-time consultants decreased by 6 consultants to 82 consultants for the nine months ended September 30, 2026, from 88 consultants for the nine months ended September 30, 2025.</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increased by $3.6 million, or 2.3%, to $160.1 million for the three months ended September 30, 2026, from $156.4 million for the three months ended September 30, 2025.</w:t>
      </w:r>
    </w:p>
    <w:p>
      <w:pPr>
        <w:spacing w:after="0" w:line="162"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8"/>
          <w:szCs w:val="18"/>
          <w:color w:val="auto"/>
        </w:rPr>
        <w:t>Cost of goods sold increased by $38.4 million, or 8.9%, to $470.8 million for the nine months ended September 30, 2026, from $432.4 million for the nine months ended September 30, 2025.</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increase for the three and nine months ended September 30, 2026, was primarily driven by a growth in volumes and by increases in logistics costs as a consequence of the conflict in the Middle East as well as of constraints in the freight market in the United States, partially offset by supply chain efficiencies.</w:t>
      </w: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$16.6 million, or 25.1%, to $83.0 million for the three months ended September 30, 2026, from $66.3 million for the three months ended September 30, 2025. Gross profit margin increased by 4.4 percentage points, to 34.1% for the three months ended September 30, 2026, from 29.8% for the three months ended September 30, 2025.</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$44.4 million, or 22.6%, to $240.7 million for the nine months ended September 30, 2026, from $196.3 million for the nine months ended September 30, 2025. Gross profit margin increased by 2.6 percentage points, to 33.8% for the nine months ended September 30, 2026, from 31.2% for the nine months ended September 30, 2025.</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increase for the three and nine months ended September 30, 2026, was due to improvements in supply chain efficiency and price/mix across all regions, partially offset by the impact of the conflict in the Middle East on energy and logistics costs as well as freight market constraints in the United States and the increased competition in the foodservice channel in Greater China.</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$4.6 million for the three months ended September 30, 2026, compared to $4.5 million in the prior year period. Research and development expenses decreased as a share of revenues to 1.9% from 2.0%,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$0.6 million, or 4.1%, to $14.1 million for the nine months ended September 30, 2026, from $13.5 million for the nine months ended September 30, 2025, and decreased as a share of revenues to 2.0% from 2.2%,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$10.2 million, or 13.5%, to $85.3 million for the three months ended September 30, 2026, compared to $75.1 million for the three months ended September 30, 2025, and increased as a share of revenue to 35.1% from 33.7%, respectively. The increase was mainly driven by increased branding and advertising expenses, higher customer distribution costs due to increased sold volumes and increased inflation driven by the conflict in the Middle East, partially offset by continued actions to reduce general and administrative expenses. Customer distribution expense increased as a share of revenue to 7.7% from 6.4%.</w:t>
      </w:r>
    </w:p>
    <w:p>
      <w:pPr>
        <w:spacing w:after="0" w:line="15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$26.7 million, or 11.3%, to $263.5 million for the nine months ended September 30, 2026, compared to $236.8 million for the nine months ended September 30, 2025, and decreased as a share of revenue to 37.0% from 37.7%, respectively. The increase was primarily driven by foreign exchange headwinds, higher customer distribution costs linked to increased volumes and increased inflation driven by the conflict in the Middle East, branding and advertising spend, partially offset by the continued cost savings initiatives. Customer distribution expense increased as a share of revenue to 7.5% from 6.5%.</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September 30, 2026, was an expense of $2.3 million, comprised primarily of $2.4 million in costs and non-cash impairments related to the strategic review of the Greater China segment partially offset by net foreign exchange gains and grants. Other operating income and (expenses), net for the three months ended September 30, 2025, was an expense of $3.6 million comprised primarily of $3.5 million in costs for our strategic review of the Greater China segment.</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Other operating income and (expenses), net for the nine months ended September 30, 2026, was an expense of $1.0 million, comprised primarily of $3.4 million in costs and non-cash impairments for our strategic review of the Greater China segment partially offset by net foreign exchange gains and grants. Other operating income and (expenses), net for the nine months ended September 30, 2025, was an expense of $3.7 million comprised primarily of $4.9 million in costs for our strategic review of our Greater China segment, offset by mainly $0.8 million in reversal of other exit costs related to the closure of the production facility in Singapore.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three months ended September 30, 2026, was an expense of $16.1 million comprised primarily of net interest expenses of $13.8 million and fair value losses on Convertible Notes of $0.9 million. The finance income and (expenses), net for the three months ended September 30, 2025, was an expense of $47.6 million comprised primarily of fair value losses on Convertible Notes of $32.2 million and net interest expenses of $15.2 million.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nine months ended September 30, 2026, was an expense of $30.4 million comprised primarily of net interest expenses of $41.1 million, offset by fair value gains on Convertible Notes of $13.7 million. The finance income and (expenses), net for the nine months ended September 30, 2025, was an expense of $70.1 million comprised primarily of net interest expenses of $43.7 million, fair value losses on Convertible Notes of $18.7 million, and net foreign exchange loss of $5.0 million.</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 Benefit/(Expense)</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Income tax expense increased to $2.2 million for the three months ended September 30, 2026, compared to $0.9 million for the three months ended September 30, 2025. The effective tax rate for the three months ended September 30, 2026, was 8.7%. The main drivers of the effective tax rate relate to non-recognition of deferred tax assets on tax losses and tax effect relating to foreign exchange effects recognized in other comprehensive income. The effective tax rate for the three months ended September 30, 2025, was 1.4%, with non-recognition of deferred tax assets on tax losses being the main driver of the effective tax rate.</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Income tax expense decreased to $2.7 million for the nine months ended September 30, 2026, compared to $6.2 million for the nine months ended September 30, 2025. The effective tax rate for the nine months ended September 30, 2026, was 4.0%. The main drivers of the effective tax rate relate to non-recognition of deferred tax assets on tax losses and tax effect relating to foreign exchange effects recognized in other comprehensive income. The effective tax rate for the nine months ended September 30, 2025, was 4.8%, with non-recognition of deferred tax assets on tax losses being the main driver of the effective tax rate.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by the issuance of equity, Convertible Notes and Nordic Bonds,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2026 to be in the range of $20 million to $30 million, related primarily to investments in our production facilities. The amount and allocation of our future capital expenditures depend on several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factors, and our strategic investment priorities may change.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all, may force us to delay, limit, reduce or terminate our product manufacturing and development and other operations” </w:t>
      </w:r>
      <w:r>
        <w:rPr>
          <w:rFonts w:ascii="Times New Roman" w:cs="Times New Roman" w:eastAsia="Times New Roman" w:hAnsi="Times New Roman"/>
          <w:sz w:val="18"/>
          <w:szCs w:val="18"/>
          <w:color w:val="auto"/>
        </w:rPr>
        <w:t>under Part I, Item 3.D.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our 2025 Annual Report.</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September 30, 2026, we had cash and cash equivalents of $23.3 million, consisting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access to $72.1 million in undrawn SSRCF commitments as of September 30,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CMB Credit Facility and Super Senior Revolving Credit Facility Agreement (SSRCF)</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September 30, 2026, we had utilized loan amounts of RMB 30.0 million (equivalent of $4.4 million) under the CMB Credit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30, 2025, we entered into a SEK 750 million (equivalent to $79.8 million) super senior revolving credit facility agreement with JP Morgan, Nordea and Rabobank (the “SSRCF”), which came into effect on October 3, 2025. The existing Sustainable Revolving Credit Facility Agreement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September 30, 2026, we had access to $72.1 million in undrawn SSRCF commitments.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9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0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1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9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before the ADS Ratio Change and to preserve economic equivalency of the Swedish Notes with the U.S. Notes and the HH Notes, we, in accordance with the terms and conditions of the Swedish Notes, will interpret the definition of “Daily VWAP” therein to assume the trading price of 1/20 of an ADS. The conversion price of the Swedish Notes was reset again on March 23, 2025, to $1.36.</w:t>
      </w:r>
    </w:p>
    <w:p>
      <w:pPr>
        <w:spacing w:after="0" w:line="1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9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a new intercreditor agreement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1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jc w:val="both"/>
        <w:ind w:firstLine="8"/>
        <w:spacing w:after="0" w:line="255" w:lineRule="auto"/>
        <w:tabs>
          <w:tab w:leader="none" w:pos="3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1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9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0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3, 2025, we completed a series of privately negotiated repurchases and cancellations of an aggregate amount of $42.9 million U.S. Notes in exchange for $24.6 million in cash and 898,134 ADSs.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30, 2025, we issued SEK denominated senior secured floating rate bonds (the “Nordic Bonds”) under the terms and conditions entered into by us with Nordic Trustee &amp; Agency AB (publ) on September 29, 2025. The Nordic Bonds had an initial issue amount of SEK 1,700 million (equivalent of $180.9 million) and a tenor of four years, subject to certain early redemption features. Following the satisfaction of certain conditions, the proceeds from the Nordic Bonds were released to us from escrow on October 3, 2025, and used to prepay the Term Loan B Credit Agreement in full, repurchase and cancel certain of the U.S. Notes and pay related transaction costs. The Nordic Bonds accrue interest at an interest rate equal to 3-month STIBOR plus 7.00 per cent. per annum applied to the nominal amount of the Nordic Bonds. The material terms of the Nordic Bonds include, among other things, (i) a mandatory total redemption of the Nordic Bonds on or before June 14, 2028, unless certain thresholds in respect of repurchase of Convertible Notes have been met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pari passu with the Nordic Bonds or is subordinated to the Nordic Bonds, (iv) a distribution incurrence test (total net leverage ratio of the Group shall be equal to or less than 2.75:1, proforma for the payment) which applies in respect of certain distributions by us to our shareholders, including dividends, and (v) other negative covenants such as restrictions on indebtedness, liens and asset disposals. As of September 30, 2026, we had SEK 1,723 million (equivalent of $172.4 million) outstanding under the Nordic Bonds, including accrued interest.</w:t>
      </w:r>
    </w:p>
    <w:p>
      <w:pPr>
        <w:spacing w:after="0" w:line="1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debt under the Nordic Bonds and the SSRCF share in the same security and guarantees from material companies in the Group by way of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8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(11,481)</w:t>
            </w:r>
          </w:p>
        </w:tc>
        <w:tc>
          <w:tcPr>
            <w:tcW w:w="9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(18,668)</w:t>
            </w:r>
          </w:p>
        </w:tc>
        <w:tc>
          <w:tcPr>
            <w:tcW w:w="9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(12,986)</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(9,185)</w:t>
            </w:r>
          </w:p>
        </w:tc>
        <w:tc>
          <w:tcPr>
            <w:tcW w:w="9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(12,284)</w:t>
            </w:r>
          </w:p>
        </w:tc>
      </w:tr>
    </w:tbl>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decreased by $5.9 million, to $11.5 million for the nine months ended September 30, 2026, from $17.4 million for the nine months ended September 30, 2025, which was primarily driven by improved operating results.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increased by $5.7 million, to $18.7 million for the nine months ended September 30, 2026, from $13.0 million for the nine months ended September 30, 2025. During the nine months ended September 30, 2026, our investments in property, plant and equipment amounted to $16.6 million. For the nine months ended September 30, 2025, our investments in property plant and equipment amounted to $12.1 million.</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decreased by $3.1 million, to $9.2 million for the nine months ended September 30, 2026, from $12.3 million for the nine months ended September 30, 2025, which was primarily driven by proceeds from liabilities to credit institutions in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and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and non-cash impairments related to the strategic review of the Greater China business, impacts related to the closure of production facility and non-controlling interests.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9" w:name="page40"/>
    <w:bookmarkEnd w:id="39"/>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and non-cash impairments related to the strategic review of the Greater China business that may reduce cash available to us;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3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(27,453)</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(65,404)</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(70,918)</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(133,881)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(4,664)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40" w:hanging="232"/>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45" w:lineRule="exact"/>
        <w:rPr>
          <w:rFonts w:ascii="Times New Roman" w:cs="Times New Roman" w:eastAsia="Times New Roman" w:hAnsi="Times New Roman"/>
          <w:sz w:val="16"/>
          <w:szCs w:val="16"/>
          <w:color w:val="auto"/>
        </w:rPr>
      </w:pPr>
    </w:p>
    <w:p>
      <w:pPr>
        <w:ind w:right="20" w:firstLine="8"/>
        <w:spacing w:after="0" w:line="272" w:lineRule="auto"/>
        <w:tabs>
          <w:tab w:leader="none" w:pos="24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 mainly consisting of non-cash impairments and cost for external consultants during 2026 and mainly cost for external consultants during 2025.</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3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and nine months ended September 30, 2026 and 2025.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9"/>
                <w:szCs w:val="9"/>
                <w:color w:val="auto"/>
              </w:rPr>
            </w:pP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340" w:type="dxa"/>
            <w:vAlign w:val="bottom"/>
            <w:gridSpan w:val="2"/>
            <w:vMerge w:val="restart"/>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5"/>
                <w:szCs w:val="5"/>
                <w:color w:val="auto"/>
              </w:rPr>
            </w:pPr>
          </w:p>
        </w:tc>
        <w:tc>
          <w:tcPr>
            <w:tcW w:w="740" w:type="dxa"/>
            <w:vAlign w:val="bottom"/>
            <w:vMerge w:val="restart"/>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3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147,24</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148,47</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26"/>
        </w:trPr>
        <w:tc>
          <w:tcPr>
            <w:tcW w:w="2160" w:type="dxa"/>
            <w:vAlign w:val="bottom"/>
            <w:vMerge w:val="continue"/>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2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(1,226)</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shd w:val="clear" w:color="auto" w:fill="CFF0FC"/>
          </w:tcPr>
          <w:p>
            <w:pPr>
              <w:spacing w:after="0"/>
              <w:rPr>
                <w:sz w:val="9"/>
                <w:szCs w:val="9"/>
                <w:color w:val="auto"/>
              </w:rPr>
            </w:pPr>
          </w:p>
        </w:tc>
        <w:tc>
          <w:tcPr>
            <w:tcW w:w="13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1120" w:type="dxa"/>
            <w:vAlign w:val="bottom"/>
            <w:gridSpan w:val="3"/>
            <w:vMerge w:val="continue"/>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63,877</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3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9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243,05</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242,54</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144"/>
        </w:trPr>
        <w:tc>
          <w:tcPr>
            <w:tcW w:w="2160" w:type="dxa"/>
            <w:vAlign w:val="bottom"/>
            <w:vMerge w:val="continue"/>
          </w:tcPr>
          <w:p>
            <w:pPr>
              <w:spacing w:after="0"/>
              <w:rPr>
                <w:sz w:val="12"/>
                <w:szCs w:val="12"/>
                <w:color w:val="auto"/>
              </w:rPr>
            </w:pPr>
          </w:p>
        </w:tc>
        <w:tc>
          <w:tcPr>
            <w:tcW w:w="380" w:type="dxa"/>
            <w:vAlign w:val="bottom"/>
            <w:vMerge w:val="restart"/>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2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80" w:type="dxa"/>
            <w:vAlign w:val="bottom"/>
            <w:gridSpan w:val="4"/>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380" w:type="dxa"/>
            <w:vAlign w:val="bottom"/>
            <w:vMerge w:val="restart"/>
          </w:tcPr>
          <w:p>
            <w:pPr>
              <w:spacing w:after="0"/>
              <w:rPr>
                <w:sz w:val="9"/>
                <w:szCs w:val="9"/>
                <w:color w:val="auto"/>
              </w:rPr>
            </w:pPr>
          </w:p>
        </w:tc>
        <w:tc>
          <w:tcPr>
            <w:tcW w:w="1160" w:type="dxa"/>
            <w:vAlign w:val="bottom"/>
            <w:gridSpan w:val="2"/>
            <w:vMerge w:val="restart"/>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1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160" w:type="dxa"/>
            <w:vAlign w:val="bottom"/>
            <w:tcBorders>
              <w:bottom w:val="single" w:sz="8" w:color="auto"/>
            </w:tcBorders>
            <w:gridSpan w:val="2"/>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340" w:type="dxa"/>
            <w:vAlign w:val="bottom"/>
            <w:gridSpan w:val="2"/>
            <w:vMerge w:val="restart"/>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5"/>
                <w:szCs w:val="5"/>
                <w:color w:val="auto"/>
              </w:rPr>
            </w:pPr>
          </w:p>
        </w:tc>
        <w:tc>
          <w:tcPr>
            <w:tcW w:w="740" w:type="dxa"/>
            <w:vAlign w:val="bottom"/>
            <w:vMerge w:val="restart"/>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3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1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3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427,10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410,98</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94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26"/>
        </w:trPr>
        <w:tc>
          <w:tcPr>
            <w:tcW w:w="2160" w:type="dxa"/>
            <w:vAlign w:val="bottom"/>
            <w:vMerge w:val="continue"/>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2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shd w:val="clear" w:color="auto" w:fill="CFF0FC"/>
          </w:tcPr>
          <w:p>
            <w:pPr>
              <w:spacing w:after="0"/>
              <w:rPr>
                <w:sz w:val="9"/>
                <w:szCs w:val="9"/>
                <w:color w:val="auto"/>
              </w:rPr>
            </w:pPr>
          </w:p>
        </w:tc>
        <w:tc>
          <w:tcPr>
            <w:tcW w:w="13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192,95</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192,92</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26"/>
        </w:trPr>
        <w:tc>
          <w:tcPr>
            <w:tcW w:w="2160" w:type="dxa"/>
            <w:vAlign w:val="bottom"/>
            <w:vMerge w:val="continue"/>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3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86,773</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711,47</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690,68</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w:t>
            </w:r>
          </w:p>
        </w:tc>
        <w:tc>
          <w:tcPr>
            <w:tcW w:w="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44"/>
        </w:trPr>
        <w:tc>
          <w:tcPr>
            <w:tcW w:w="2160" w:type="dxa"/>
            <w:vAlign w:val="bottom"/>
            <w:vMerge w:val="continue"/>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20,791</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-2065020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-2065020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-2065020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-2065020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-2065020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-307975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-307975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-307975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9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(9,917)</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(2,354)</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(11,481)</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(8,516)</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(3,076)</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(19,237)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(13,775)</w:t>
            </w:r>
          </w:p>
        </w:tc>
      </w:tr>
      <w:tr>
        <w:trPr>
          <w:trHeight w:val="20"/>
        </w:trPr>
        <w:tc>
          <w:tcPr>
            <w:tcW w:w="5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(18,433)</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(30,718)</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(31,134)</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was an outflow of $30.7 million for the nine months ended September 30, 2026, compared to an outflow of $31.1 million during the prior year period. The improvement in Free Cash Flow was driven by decreased net cash flows used in operating activities, partly offset by higher capital expenditures.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147,591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31,514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(20,519)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30,743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(4,468)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(1,582)</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428,690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91,413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88,076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(4,127)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(70,860)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(1,776)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86,188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(8,464)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(78,172)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(30,364)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(37,851)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(1,551)</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8" w:lineRule="exact"/>
        <w:rPr>
          <w:rFonts w:ascii="Times New Roman" w:cs="Times New Roman" w:eastAsia="Times New Roman" w:hAnsi="Times New Roman"/>
          <w:sz w:val="16"/>
          <w:szCs w:val="16"/>
          <w:color w:val="auto"/>
        </w:rPr>
      </w:pPr>
    </w:p>
    <w:p>
      <w:pPr>
        <w:ind w:right="20" w:firstLine="8"/>
        <w:spacing w:after="0" w:line="276" w:lineRule="auto"/>
        <w:tabs>
          <w:tab w:leader="none" w:pos="25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refers to intersegment revenue for sales of products from Europe &amp; International to Greater China and North America. Eliminations in 2025 refers to intersegment revenue for sales of products from Europe &amp; International to Greater China.</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32" w:lineRule="exact"/>
        <w:rPr>
          <w:rFonts w:ascii="Times New Roman" w:cs="Times New Roman" w:eastAsia="Times New Roman" w:hAnsi="Times New Roman"/>
          <w:sz w:val="16"/>
          <w:szCs w:val="16"/>
          <w:color w:val="auto"/>
        </w:rPr>
      </w:pPr>
    </w:p>
    <w:p>
      <w:pPr>
        <w:ind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 mainly consisting of non-cash impairments and cost for external consultants during 2026 and mainly cost for external consultants during 2025.</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2025 Annual Report and the notes to the audited financial statements in our 2025 Annual Report. Our critical accounting policies and estimates are the same as those discussed in our 2025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to our audited consolidated financial statements for the year ended December 31, 2025, included in our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2025 Annual Report.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Baumgartner, CFA,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investors@oatly.com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press@oatly.com</w:t>
      </w:r>
    </w:p>
    <w:p>
      <w:pPr>
        <w:spacing w:after="0" w:line="20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This information is information that Oatly Group AB (publ) is obliged to make public pursuant to the EU Market Abuse Regulation. The information was submitted for publication, through the agency of the contact person set out above, at 07:00 ET on October 28, 2026.</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Oatly Group AB (publ)</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76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upperLetter"/>
      <w:start w:val="34"/>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upperLetter"/>
      <w:start w:val="34"/>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2026-10-28T06:06:28Z</dcterms:created>
  <dcterms:modified xsi:type="dcterms:W3CDTF">2026-10-28T06:06:28Z</dcterms:modified>
</cp:coreProperties>
</file>