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4" w:space="1" w:color="000000"/>
        </w:pBdr>
        <w:bidi w:val="0"/>
        <w:jc w:val="center"/>
        <w:rPr/>
      </w:pPr>
      <w:bookmarkStart w:id="0" w:name="otly_6k_pr_2q26.htm"/>
      <w:bookmarkStart w:id="1" w:name="ksotly_6k_pr_2q26"/>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6-K</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w:t>
      </w:r>
    </w:p>
    <w:p>
      <w:pPr>
        <w:pStyle w:val="TextBody"/>
        <w:bidi w:val="0"/>
        <w:jc w:val="center"/>
        <w:rPr>
          <w:rFonts w:ascii="Times New Roman" w:hAnsi="Times New Roman"/>
          <w:b/>
          <w:color w:val="000000"/>
          <w:sz w:val="24"/>
        </w:rPr>
      </w:pPr>
      <w:r>
        <w:rPr>
          <w:rFonts w:ascii="Times New Roman" w:hAnsi="Times New Roman"/>
          <w:b/>
          <w:color w:val="000000"/>
          <w:sz w:val="24"/>
        </w:rPr>
        <w:t>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month of July 2026</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Commission File Number: 001-40401</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Oatly Group AB (publ)</w:t>
      </w:r>
    </w:p>
    <w:p>
      <w:pPr>
        <w:pStyle w:val="TextBody"/>
        <w:bidi w:val="0"/>
        <w:jc w:val="center"/>
        <w:rPr>
          <w:rFonts w:ascii="Times New Roman" w:hAnsi="Times New Roman"/>
          <w:b/>
          <w:color w:val="000000"/>
          <w:sz w:val="20"/>
        </w:rPr>
      </w:pPr>
      <w:r>
        <w:rPr>
          <w:rFonts w:ascii="Times New Roman" w:hAnsi="Times New Roman"/>
          <w:b/>
          <w:color w:val="000000"/>
          <w:sz w:val="20"/>
        </w:rPr>
        <w:t>(Translation of registrant’s name into English)</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Ångfärjekajen 8</w:t>
      </w:r>
    </w:p>
    <w:p>
      <w:pPr>
        <w:pStyle w:val="TextBody"/>
        <w:bidi w:val="0"/>
        <w:jc w:val="center"/>
        <w:rPr>
          <w:rFonts w:ascii="Times New Roman" w:hAnsi="Times New Roman"/>
          <w:b/>
          <w:color w:val="000000"/>
          <w:sz w:val="20"/>
        </w:rPr>
      </w:pPr>
      <w:r>
        <w:rPr>
          <w:rFonts w:ascii="Times New Roman" w:hAnsi="Times New Roman"/>
          <w:b/>
          <w:color w:val="000000"/>
          <w:sz w:val="20"/>
        </w:rPr>
        <w:t>211 19 Malmö</w:t>
      </w:r>
    </w:p>
    <w:p>
      <w:pPr>
        <w:pStyle w:val="TextBody"/>
        <w:bidi w:val="0"/>
        <w:jc w:val="center"/>
        <w:rPr>
          <w:rFonts w:ascii="Times New Roman" w:hAnsi="Times New Roman"/>
          <w:b/>
          <w:color w:val="000000"/>
          <w:sz w:val="20"/>
        </w:rPr>
      </w:pPr>
      <w:r>
        <w:rPr>
          <w:rFonts w:ascii="Times New Roman" w:hAnsi="Times New Roman"/>
          <w:b/>
          <w:color w:val="000000"/>
          <w:sz w:val="20"/>
        </w:rPr>
        <w:t>Sweden</w:t>
      </w:r>
    </w:p>
    <w:p>
      <w:pPr>
        <w:pStyle w:val="TextBody"/>
        <w:bidi w:val="0"/>
        <w:jc w:val="center"/>
        <w:rPr>
          <w:rFonts w:ascii="Times New Roman" w:hAnsi="Times New Roman"/>
          <w:b/>
          <w:color w:val="000000"/>
          <w:sz w:val="20"/>
        </w:rPr>
      </w:pPr>
      <w:r>
        <w:rPr>
          <w:rFonts w:ascii="Times New Roman" w:hAnsi="Times New Roman"/>
          <w:b/>
          <w:color w:val="000000"/>
          <w:sz w:val="20"/>
        </w:rPr>
        <w:t>(Address of principal executive office)</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jc w:val="left"/>
        <w:rPr/>
      </w:pPr>
      <w:r>
        <w:rPr/>
        <w:t> </w:t>
      </w:r>
    </w:p>
    <w:tbl>
      <w:tblPr>
        <w:tblW w:w="2548" w:type="dxa"/>
        <w:jc w:val="left"/>
        <w:tblInd w:w="0" w:type="dxa"/>
        <w:tblLayout w:type="fixed"/>
        <w:tblCellMar>
          <w:top w:w="28" w:type="dxa"/>
          <w:left w:w="28" w:type="dxa"/>
          <w:bottom w:w="28" w:type="dxa"/>
          <w:right w:w="28" w:type="dxa"/>
        </w:tblCellMar>
      </w:tblPr>
      <w:tblGrid>
        <w:gridCol w:w="1186"/>
        <w:gridCol w:w="146"/>
        <w:gridCol w:w="1216"/>
      </w:tblGrid>
      <w:tr>
        <w:trPr/>
        <w:tc>
          <w:tcPr>
            <w:tcW w:w="1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r>
      <w:tr>
        <w:trPr/>
        <w:tc>
          <w:tcPr>
            <w:tcW w:w="118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Form 20-F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Form 40-F ☐</w:t>
            </w:r>
          </w:p>
        </w:tc>
      </w:tr>
    </w:tbl>
    <w:p>
      <w:pPr>
        <w:pStyle w:val="TextBody"/>
        <w:bidi w:val="0"/>
        <w:jc w:val="left"/>
        <w:rPr/>
      </w:pPr>
      <w:r>
        <w:rPr/>
        <w:t> </w:t>
      </w:r>
    </w:p>
    <w:p>
      <w:pPr>
        <w:pStyle w:val="TextBody"/>
        <w:pBdr>
          <w:bottom w:val="single" w:sz="4" w:space="1" w:color="000000"/>
        </w:pBdr>
        <w:bidi w:val="0"/>
        <w:jc w:val="left"/>
        <w:rPr/>
      </w:pPr>
      <w:r>
        <w:rPr/>
        <w:t> </w:t>
      </w:r>
    </w:p>
    <w:p>
      <w:pPr>
        <w:pStyle w:val="Heading2"/>
        <w:bidi w:val="0"/>
        <w:spacing w:before="200" w:after="120"/>
        <w:jc w:val="left"/>
        <w:rPr>
          <w:rFonts w:ascii="Times New Roman" w:hAnsi="Times New Roman"/>
          <w:color w:val="000000"/>
          <w:sz w:val="20"/>
        </w:rPr>
      </w:pPr>
      <w:r>
        <w:rPr>
          <w:rFonts w:ascii="Times New Roman" w:hAnsi="Times New Roman"/>
          <w:color w:val="000000"/>
          <w:sz w:val="20"/>
        </w:rPr>
        <w:t xml:space="preserve">Results of Operations and Financial Condition </w:t>
      </w:r>
    </w:p>
    <w:p>
      <w:pPr>
        <w:pStyle w:val="TextBody"/>
        <w:bidi w:val="0"/>
        <w:jc w:val="left"/>
        <w:rPr>
          <w:rFonts w:ascii="Times New Roman" w:hAnsi="Times New Roman"/>
          <w:color w:val="000000"/>
          <w:sz w:val="20"/>
        </w:rPr>
      </w:pPr>
      <w:r>
        <w:rPr>
          <w:rFonts w:ascii="Times New Roman" w:hAnsi="Times New Roman"/>
          <w:color w:val="000000"/>
          <w:sz w:val="20"/>
        </w:rPr>
        <w:t>On July 22, 2026, the Company issued a press release announcing its financial results for the quarter ended June 30, 2026. A copy of the press release is furnished as Exhibit 99.1 to this Report on Form 6-K.</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Departure of Director; Appointment of New Director</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On July 20, 2026, the board of directors of the Company (the “Board”) received notice from one of its directors, Wenjie Ma, that he would step down as a member of the Board, effective July 20, 2026. Mr. Ma’s decision was not due to any disagreement with the Company’s management or Board. The Board thanks Mr. Ma for his service.</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Lifen Xu was appointed to the Board, also effective July 20, 2026, by the Company’s shareholder, Blossom Key (Hong Kong) Holdings Limited (“China Resources”), to replace Mr. Ma. Ms. Xu will serve as a director until the close of the annual general meeting to be held in 2027 and until her successor is duly elected and qualified (or her earlier death, resignation or removal).</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Ms. Xu is the Vice President of China Resources Enterprise. She joined the China Resources Group in 2010 and has also served as a director in the Strategic Management Department of the China Resources Group. Ms. Xu has extensive experience in strategic management and investment management, with prior tenure at several internationally renowned consulting and investment advisory firms. She holds a Master of Management Science and Engineering from the School of Management, Zhejiang University.</w:t>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Ms. Xu was appointed pursuant to China Resources’ board appointment rights, which are described under “Appointment Rights” in Item 6.A of the Company’s annual report on Form 20-F (the “Form 20-F”) filed with the Securities and Exchange Commission (the “SEC”) on March 13, 2026.</w:t>
      </w:r>
    </w:p>
    <w:p>
      <w:pPr>
        <w:pStyle w:val="HorizontalLine"/>
        <w:pBdr>
          <w:bottom w:val="double" w:sz="2" w:space="0" w:color="808080"/>
        </w:pBdr>
        <w:bidi w:val="0"/>
        <w:spacing w:before="0" w:after="283"/>
        <w:jc w:val="left"/>
        <w:rPr/>
      </w:pPr>
      <w:r>
        <w:rPr/>
      </w:r>
    </w:p>
    <w:p>
      <w:pPr>
        <w:pStyle w:val="TextBody"/>
        <w:bidi w:val="0"/>
        <w:spacing w:before="0" w:after="180"/>
        <w:jc w:val="both"/>
        <w:rPr>
          <w:rFonts w:ascii="Times New Roman" w:hAnsi="Times New Roman"/>
          <w:color w:val="000000"/>
          <w:sz w:val="20"/>
        </w:rPr>
      </w:pPr>
      <w:r>
        <w:rPr>
          <w:rFonts w:ascii="Times New Roman" w:hAnsi="Times New Roman"/>
          <w:color w:val="000000"/>
          <w:sz w:val="20"/>
        </w:rPr>
        <w:t>Other than with respect to China Resources’ board appointment rights, there are no transactions in which Ms. Xu has an interest requiring disclosure under Item 7.B of the Form 20-F. Additionally, Ms. Xu does not have any family relationship with any director or executive officer of the Company or any person nominated or chosen by the Company to become a director or executive officer. Ms. Xu will be entitled to standard compensation available to all non-employee directors (as described under “Executive Officer, Non-Executive Director and Key Management Compensation” in Item 6.B of the Form 20-F).</w:t>
      </w:r>
    </w:p>
    <w:p>
      <w:pPr>
        <w:pStyle w:val="TextBody"/>
        <w:pBdr>
          <w:bottom w:val="double" w:sz="4" w:space="1" w:color="000000"/>
        </w:pBdr>
        <w:bidi w:val="0"/>
        <w:spacing w:before="0" w:after="180"/>
        <w:jc w:val="both"/>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jc w:val="left"/>
        <w:rPr/>
      </w:pPr>
      <w:r>
        <w:rPr/>
        <w:t> </w:t>
      </w:r>
    </w:p>
    <w:tbl>
      <w:tblPr>
        <w:tblW w:w="6163" w:type="dxa"/>
        <w:jc w:val="left"/>
        <w:tblInd w:w="0" w:type="dxa"/>
        <w:tblLayout w:type="fixed"/>
        <w:tblCellMar>
          <w:top w:w="28" w:type="dxa"/>
          <w:left w:w="28" w:type="dxa"/>
          <w:bottom w:w="28" w:type="dxa"/>
          <w:right w:w="28" w:type="dxa"/>
        </w:tblCellMar>
      </w:tblPr>
      <w:tblGrid>
        <w:gridCol w:w="976"/>
        <w:gridCol w:w="146"/>
        <w:gridCol w:w="5041"/>
      </w:tblGrid>
      <w:tr>
        <w:trPr/>
        <w:tc>
          <w:tcPr>
            <w:tcW w:w="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41" w:type="dxa"/>
            <w:tcBorders/>
            <w:vAlign w:val="center"/>
          </w:tcPr>
          <w:p>
            <w:pPr>
              <w:pStyle w:val="TableContents"/>
              <w:bidi w:val="0"/>
              <w:spacing w:before="0" w:after="283"/>
              <w:jc w:val="left"/>
              <w:rPr>
                <w:sz w:val="4"/>
                <w:szCs w:val="4"/>
              </w:rPr>
            </w:pPr>
            <w:r>
              <w:rPr>
                <w:sz w:val="4"/>
                <w:szCs w:val="4"/>
              </w:rPr>
            </w:r>
          </w:p>
        </w:tc>
      </w:tr>
      <w:tr>
        <w:trPr/>
        <w:tc>
          <w:tcPr>
            <w:tcW w:w="9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Exhibit No.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0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Description</w:t>
            </w:r>
          </w:p>
        </w:tc>
      </w:tr>
      <w:tr>
        <w:trPr/>
        <w:tc>
          <w:tcPr>
            <w:tcW w:w="9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041" w:type="dxa"/>
            <w:tcBorders/>
            <w:tcMar>
              <w:top w:w="0" w:type="dxa"/>
              <w:left w:w="0" w:type="dxa"/>
              <w:bottom w:w="0" w:type="dxa"/>
              <w:right w:w="0" w:type="dxa"/>
            </w:tcMar>
            <w:vAlign w:val="center"/>
          </w:tcPr>
          <w:p>
            <w:pPr>
              <w:pStyle w:val="TableContents"/>
              <w:bidi w:val="0"/>
              <w:spacing w:before="0" w:after="283"/>
              <w:jc w:val="left"/>
              <w:rPr/>
            </w:pPr>
            <w:hyperlink w:anchor="otly-ex99_1.htm">
              <w:r>
                <w:rPr>
                  <w:rStyle w:val="InternetLink"/>
                  <w:rFonts w:ascii="Times New Roman" w:hAnsi="Times New Roman"/>
                  <w:color w:val="0000FF"/>
                  <w:sz w:val="20"/>
                  <w:u w:val="single"/>
                </w:rPr>
                <w:t>Press Release of Oatly Group AB (publ), dated July 22, 2026</w:t>
              </w:r>
            </w:hyperlink>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4499" w:type="dxa"/>
        <w:jc w:val="left"/>
        <w:tblInd w:w="0" w:type="dxa"/>
        <w:tblLayout w:type="fixed"/>
        <w:tblCellMar>
          <w:top w:w="28" w:type="dxa"/>
          <w:left w:w="28" w:type="dxa"/>
          <w:bottom w:w="28" w:type="dxa"/>
          <w:right w:w="28" w:type="dxa"/>
        </w:tblCellMar>
      </w:tblPr>
      <w:tblGrid>
        <w:gridCol w:w="1711"/>
        <w:gridCol w:w="146"/>
        <w:gridCol w:w="631"/>
        <w:gridCol w:w="20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Oatly Group AB (publ)</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22,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Marie-José David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Marie-José David</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18"/>
        </w:rPr>
      </w:pPr>
      <w:bookmarkStart w:id="2" w:name="otly-ex99_1.htm"/>
      <w:bookmarkStart w:id="3" w:name="ksotlyex99_1"/>
      <w:bookmarkEnd w:id="2"/>
      <w:bookmarkEnd w:id="3"/>
      <w:r>
        <w:rPr>
          <w:rFonts w:ascii="Times New Roman" w:hAnsi="Times New Roman"/>
          <w:b/>
          <w:color w:val="000000"/>
          <w:sz w:val="18"/>
        </w:rPr>
        <w:t>Exhibit 99.1</w:t>
      </w:r>
      <w:r>
        <w:br w:type="page"/>
      </w:r>
    </w:p>
    <w:p>
      <w:pPr>
        <w:pStyle w:val="TextBody"/>
        <w:bidi w:val="0"/>
        <w:jc w:val="left"/>
        <w:rPr/>
      </w:pPr>
      <w:r>
        <w:rPr/>
        <w:t> </w:t>
      </w:r>
    </w:p>
    <w:p>
      <w:pPr>
        <w:pStyle w:val="TextBody"/>
        <w:bidi w:val="0"/>
        <w:jc w:val="center"/>
        <w:rPr/>
      </w:pPr>
      <w:r>
        <w:rPr/>
        <w:drawing>
          <wp:inline distT="0" distB="0" distL="0" distR="0">
            <wp:extent cx="1781175"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590550"/>
                    </a:xfrm>
                    <a:prstGeom prst="rect">
                      <a:avLst/>
                    </a:prstGeom>
                  </pic:spPr>
                </pic:pic>
              </a:graphicData>
            </a:graphic>
          </wp:inline>
        </w:drawing>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Oatly Reports Second Quarter 2026 Financial Results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MALMÖ, Sweden, July 22, 2026 – Oatly Group AB (publ) (Nasdaq: OTLY) (“Oatly”, the “Company” or the “Group”), the world’s original and largest oat drink company, today announced financial results for the second quarter ended June 30, 2026.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Jean-Christophe Flatin, Oatly’s CEO, commented, “I am pleased to report another quarter of profitable growth marked by demand-led value creation. Our second quarter results reflect the disciplined execution of our strategy including improvements to the mix of channels, customers, and products. Our growth playbook is outperforming expectations in Europe and gaining traction in North America. These strong returns reinforce our commitment to reinvest in the business, and we are pleased to increase our outlook for revenue growth in 2026. We continue to make progress reducing our cost structure, and the cost pressures associated with the conflict in the Middle East are tracking according to our expectations.”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He continued, “We remain focused on execution and are committed to building on this momentum to deliver consistent, sustainable, and profitable growth over time.”</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The tables below reconcile revenue as reported to revenue on a constant currency basis by segment for the three and six months ended June 30, 2026 and 2025.</w:t>
      </w:r>
    </w:p>
    <w:tbl>
      <w:tblPr>
        <w:tblW w:w="12123" w:type="dxa"/>
        <w:jc w:val="left"/>
        <w:tblInd w:w="0" w:type="dxa"/>
        <w:tblLayout w:type="fixed"/>
        <w:tblCellMar>
          <w:top w:w="28" w:type="dxa"/>
          <w:left w:w="28" w:type="dxa"/>
          <w:bottom w:w="28" w:type="dxa"/>
          <w:right w:w="28" w:type="dxa"/>
        </w:tblCellMar>
      </w:tblPr>
      <w:tblGrid>
        <w:gridCol w:w="1366"/>
        <w:gridCol w:w="146"/>
        <w:gridCol w:w="146"/>
        <w:gridCol w:w="781"/>
        <w:gridCol w:w="146"/>
        <w:gridCol w:w="146"/>
        <w:gridCol w:w="146"/>
        <w:gridCol w:w="781"/>
        <w:gridCol w:w="146"/>
        <w:gridCol w:w="146"/>
        <w:gridCol w:w="146"/>
        <w:gridCol w:w="781"/>
        <w:gridCol w:w="146"/>
        <w:gridCol w:w="146"/>
        <w:gridCol w:w="146"/>
        <w:gridCol w:w="676"/>
        <w:gridCol w:w="166"/>
        <w:gridCol w:w="146"/>
        <w:gridCol w:w="146"/>
        <w:gridCol w:w="781"/>
        <w:gridCol w:w="146"/>
        <w:gridCol w:w="146"/>
        <w:gridCol w:w="175"/>
        <w:gridCol w:w="561"/>
        <w:gridCol w:w="301"/>
        <w:gridCol w:w="146"/>
        <w:gridCol w:w="179"/>
        <w:gridCol w:w="572"/>
        <w:gridCol w:w="301"/>
        <w:gridCol w:w="146"/>
        <w:gridCol w:w="157"/>
        <w:gridCol w:w="504"/>
        <w:gridCol w:w="301"/>
        <w:gridCol w:w="146"/>
        <w:gridCol w:w="220"/>
        <w:gridCol w:w="546"/>
        <w:gridCol w:w="346"/>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exchange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 currency price/mix</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&amp;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240,095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234,903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Foreign exchange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reported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constant currency</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Volume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Constant currency price/mix</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 &amp; International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North America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Greater 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405,884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448,217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Heading2"/>
        <w:bidi w:val="0"/>
        <w:spacing w:before="360" w:after="120"/>
        <w:jc w:val="left"/>
        <w:rPr>
          <w:rFonts w:ascii="Times New Roman" w:hAnsi="Times New Roman"/>
          <w:color w:val="000000"/>
          <w:sz w:val="20"/>
        </w:rPr>
      </w:pPr>
      <w:r>
        <w:rPr>
          <w:rFonts w:ascii="Times New Roman" w:hAnsi="Times New Roman"/>
          <w:color w:val="000000"/>
          <w:sz w:val="20"/>
        </w:rPr>
        <w:t>Highlights</w:t>
      </w:r>
    </w:p>
    <w:p>
      <w:pPr>
        <w:pStyle w:val="TextBody"/>
        <w:bidi w:val="0"/>
        <w:spacing w:before="80" w:after="200"/>
        <w:jc w:val="both"/>
        <w:rPr>
          <w:color w:val="000000"/>
        </w:rPr>
      </w:pPr>
      <w:r>
        <w:rPr>
          <w:color w:val="000000"/>
        </w:rPr>
        <w:t>•</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Second quarter revenue of $240.1 million, a 15.2% increase compared to the prior year period, with a constant currency revenue increase of 12.7% compared to the prior year period.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Gross margin in the second quarter was 33.9%, which is a 1.4 percentage point increase compared to the prior year period.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Second quarter net loss attributable to shareholders of the parent was $31.3 million, compared to a net loss attributable to shareholders of the parent of $55.9 million in the prior year period.</w:t>
      </w:r>
    </w:p>
    <w:p>
      <w:pPr>
        <w:pStyle w:val="TextBody"/>
        <w:bidi w:val="0"/>
        <w:spacing w:before="0" w:after="200"/>
        <w:jc w:val="both"/>
        <w:rPr>
          <w:color w:val="000000"/>
        </w:rPr>
      </w:pPr>
      <w:r>
        <w:rPr>
          <w:color w:val="000000"/>
        </w:rPr>
        <w:t>•</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Second quarter Adjusted EBITDA was $0.4 million, which is an improvement of $4.0 million compared to an Adjusted EBITDA loss of $3.6 million in the prior year period.</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Outlook</w:t>
      </w:r>
    </w:p>
    <w:p>
      <w:pPr>
        <w:pStyle w:val="TextBody"/>
        <w:bidi w:val="0"/>
        <w:spacing w:before="80" w:after="200"/>
        <w:jc w:val="both"/>
        <w:rPr>
          <w:color w:val="000000"/>
        </w:rPr>
      </w:pPr>
      <w:r>
        <w:rPr>
          <w:color w:val="000000"/>
        </w:rPr>
        <w:t>•</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 xml:space="preserve">The Company’s outlook is as follows (including an updated 2026 revenue outlook):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Constant currency revenue growth is now expected to be in the range of +8% to +10% (from +3% to +5% previously). Based on recent foreign exchange rates, the full-year impact of foreign exchange is expected to be a tailwind to revenue growth by approximately 200 to 250 basis points; up from the prior expectation of 100 to 200 basis points.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Adjusted EBITDA is expected to be in the range of $25 million to $35 million (unchanged).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expenditures are expected to be in the range of $20 million to $30 million (unchanged).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outlook assumes that the impact from the conflict in the Middle East does not worsen from what is expected today.</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Second Quarter 2026 Results</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Revenue increased $31.7 million, or 15.2% to $240.1 million for the second quarter ended June 30, 2026, compared to $208.4 million for the prior year period. Excluding a foreign currency exchange tailwind of $5.2 million, revenue for the second quarter was $234.9 million, or an increase of 12.7% compared to the prior year period. The growth in constant currency revenue was driven by another quarter of accelerating growth in Europe &amp; International, a subsequent quarter of accelerating growth in North America driven mainly by the retail channel, and volume growth in Greater China despite increased competition in the foodservice channel. Sold volume for the second quarter of 2026 increased 11.2% to 156.1 million liters compared to 140.4 million liters in the second quarter of 2025. Produced finished goods volume for the second quarter of 2026 was 153.6 million liters compared to 142.8 million liters for the second quarter of 2025.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Gross profit was $81.4 million for the second quarter of 2026 compared to $67.6 million for the second quarter of 2025. Gross profit margin was 33.9% in the second quarter of 2026, an increase of 143 basis points compared to the prior period. The margin improvement compared to the second quarter of 2025 was due to improvements in supply chain efficiency, channel mix in North America, and market and product mix in Europe &amp; International, partially offset by the impact of the conflict in the Middle East on energy and logistics costs.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Research and development expenses in the second quarter of 2026 was $4.6 million, which was flat compared to prior year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Selling, general and administrative expenses in the second quarter of 2026 increased $10.6 million to $94.7 million compared to $84.1 million in the prior year period. The increase was driven by foreign currency exchange headwinds, increased branding and advertising spending, higher customer distribution costs due to increased sold volumes, and increased inflation driven by the conflict in the Middle East, partially offset by continued actions to reduce general and administrative expenses.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Other operating income and (expenses), net for the second quarter of 2026 was an income of $0.6 million comprised primarily of net foreign exchange gains and grants, offset by $0.8 million in costs for our strategic review of the Greater China segment. Other operating income and (expenses), net for the prior year period was an expense of $1.0 million comprised primarily of $1.4 million in costs for the Company’s strategic review of the Greater China segment.</w:t>
      </w:r>
    </w:p>
    <w:p>
      <w:pPr>
        <w:pStyle w:val="TextBody"/>
        <w:bidi w:val="0"/>
        <w:jc w:val="both"/>
        <w:rPr>
          <w:rFonts w:ascii="Times New Roman" w:hAnsi="Times New Roman"/>
          <w:color w:val="000000"/>
          <w:sz w:val="20"/>
        </w:rPr>
      </w:pPr>
      <w:r>
        <w:rPr>
          <w:rFonts w:ascii="Times New Roman" w:hAnsi="Times New Roman"/>
          <w:color w:val="000000"/>
          <w:sz w:val="20"/>
        </w:rPr>
        <w:t>Finance income and (expenses), net for the second quarter of 2026 was an expense of $13.4 million comprised primarily of net interest expenses of $13.9 million, offset by fair value gain on Convertible Notes of $2.3 million. The finance income and (expenses), net for the prior year period was an expense of $31.9 million comprised primarily of net interest expenses of $14.9 million, fair value losses on Convertible Notes of $8.6 million, and net foreign exchange losses of $7.8 million.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Net loss attributable to shareholders of the parent was $31.3 million for the second quarter of 2026 compared to a loss of $55.9 million in the prior year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Adjusted EBITDA for the second quarter of 2026 was $0.4 million, compared to a loss of $3.6 million in the prior year period. The improvement in Adjusted EBITDA was primarily a result of higher gross profit.</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EBITDA, Adjusted EBITDA and Constant Currency Revenue are non-IFRS financial measures defined under “Non-IFRS financial measures”. Please see above revenue at constant currency table and “Reconciliation of IFRS to Non-IFRS Financial measures” at the end of this press release.</w:t>
      </w:r>
    </w:p>
    <w:p>
      <w:pPr>
        <w:pStyle w:val="TextBody"/>
        <w:bidi w:val="0"/>
        <w:spacing w:before="80" w:after="120"/>
        <w:jc w:val="left"/>
        <w:rPr>
          <w:rFonts w:ascii="Times New Roman" w:hAnsi="Times New Roman"/>
          <w:color w:val="000000"/>
          <w:sz w:val="20"/>
        </w:rPr>
      </w:pPr>
      <w:r>
        <w:rPr>
          <w:rFonts w:ascii="Times New Roman" w:hAnsi="Times New Roman"/>
          <w:color w:val="000000"/>
          <w:sz w:val="20"/>
        </w:rPr>
        <w:t xml:space="preserve">The following tables set forth revenue, Adjusted EBITDA, EBITDA and loss before tax for the Company’s three reportable segments for the periods presented. </w:t>
      </w:r>
    </w:p>
    <w:p>
      <w:pPr>
        <w:pStyle w:val="TextBody"/>
        <w:bidi w:val="0"/>
        <w:spacing w:before="80" w:after="12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18"/>
        <w:gridCol w:w="146"/>
        <w:gridCol w:w="222"/>
        <w:gridCol w:w="1193"/>
        <w:gridCol w:w="166"/>
        <w:gridCol w:w="146"/>
        <w:gridCol w:w="166"/>
        <w:gridCol w:w="769"/>
        <w:gridCol w:w="166"/>
        <w:gridCol w:w="146"/>
        <w:gridCol w:w="164"/>
        <w:gridCol w:w="761"/>
        <w:gridCol w:w="166"/>
        <w:gridCol w:w="146"/>
        <w:gridCol w:w="149"/>
        <w:gridCol w:w="755"/>
        <w:gridCol w:w="166"/>
        <w:gridCol w:w="146"/>
        <w:gridCol w:w="246"/>
        <w:gridCol w:w="813"/>
        <w:gridCol w:w="166"/>
        <w:gridCol w:w="146"/>
        <w:gridCol w:w="146"/>
        <w:gridCol w:w="781"/>
        <w:gridCol w:w="216"/>
      </w:tblGrid>
      <w:tr>
        <w:trPr/>
        <w:tc>
          <w:tcPr>
            <w:tcW w:w="21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 Adjusted EBITDA and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2026</w:t>
              <w:br/>
              <w:t>(Unaudited)</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66,919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240,095</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(12,627</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(30,705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Three months ended June 30, 2025</w:t>
              <w:br/>
              <w:t>(Unaudited)</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208,354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208,354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(9,822</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(54,032</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73"/>
        <w:gridCol w:w="146"/>
        <w:gridCol w:w="220"/>
        <w:gridCol w:w="1184"/>
        <w:gridCol w:w="166"/>
        <w:gridCol w:w="146"/>
        <w:gridCol w:w="158"/>
        <w:gridCol w:w="845"/>
        <w:gridCol w:w="166"/>
        <w:gridCol w:w="146"/>
        <w:gridCol w:w="163"/>
        <w:gridCol w:w="756"/>
        <w:gridCol w:w="166"/>
        <w:gridCol w:w="146"/>
        <w:gridCol w:w="149"/>
        <w:gridCol w:w="754"/>
        <w:gridCol w:w="166"/>
        <w:gridCol w:w="146"/>
        <w:gridCol w:w="198"/>
        <w:gridCol w:w="857"/>
        <w:gridCol w:w="166"/>
        <w:gridCol w:w="146"/>
        <w:gridCol w:w="146"/>
        <w:gridCol w:w="781"/>
        <w:gridCol w:w="215"/>
      </w:tblGrid>
      <w:tr>
        <w:trPr/>
        <w:tc>
          <w:tcPr>
            <w:tcW w:w="20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Six months ended June 30, 2026 </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468,420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(42,958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xml:space="preserve">Six months ended June 30, 2025 </w:t>
              <w:br/>
              <w:t>(in thousands of U.S. dollars)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Europe &amp; International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North America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Greater China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Corporate*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Eliminations**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0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03"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2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from external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segment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56,955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405,884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(17,232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7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(63,212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 Corporate consists of general costs not allocated to the segments.</w:t>
      </w:r>
    </w:p>
    <w:p>
      <w:pPr>
        <w:pStyle w:val="TextBody"/>
        <w:bidi w:val="0"/>
        <w:jc w:val="both"/>
        <w:rPr>
          <w:rFonts w:ascii="Times New Roman" w:hAnsi="Times New Roman"/>
          <w:color w:val="000000"/>
          <w:sz w:val="18"/>
        </w:rPr>
      </w:pPr>
      <w:r>
        <w:rPr>
          <w:rFonts w:ascii="Times New Roman" w:hAnsi="Times New Roman"/>
          <w:color w:val="000000"/>
          <w:sz w:val="18"/>
        </w:rPr>
        <w:t>** Eliminations in 2026 refers to intersegment revenue for sales of products from Europe &amp; International to Greater China and North America. Eliminations in 2025 refers to intersegment revenue for sales of products from Europe &amp; International to Greater China.</w:t>
      </w:r>
    </w:p>
    <w:p>
      <w:pPr>
        <w:pStyle w:val="TextBody"/>
        <w:bidi w:val="0"/>
        <w:jc w:val="both"/>
        <w:rPr>
          <w:rFonts w:ascii="Times New Roman" w:hAnsi="Times New Roman"/>
          <w:color w:val="000000"/>
          <w:sz w:val="18"/>
        </w:rPr>
      </w:pPr>
      <w:r>
        <w:rPr>
          <w:rFonts w:ascii="Times New Roman" w:hAnsi="Times New Roman"/>
          <w:color w:val="000000"/>
          <w:sz w:val="18"/>
        </w:rPr>
        <w:t>(1) Relates primarily to severance costs as the Group adjusts its organizational structure.</w:t>
      </w:r>
    </w:p>
    <w:p>
      <w:pPr>
        <w:pStyle w:val="TextBody"/>
        <w:bidi w:val="0"/>
        <w:jc w:val="both"/>
        <w:rPr>
          <w:rFonts w:ascii="Times New Roman" w:hAnsi="Times New Roman"/>
          <w:color w:val="000000"/>
          <w:sz w:val="18"/>
        </w:rPr>
      </w:pPr>
      <w:r>
        <w:rPr>
          <w:rFonts w:ascii="Times New Roman" w:hAnsi="Times New Roman"/>
          <w:color w:val="000000"/>
          <w:sz w:val="18"/>
        </w:rPr>
        <w:t>(2) Relates to costs for the strategic review of the Greater China segment.</w:t>
      </w:r>
    </w:p>
    <w:p>
      <w:pPr>
        <w:pStyle w:val="TextBody"/>
        <w:bidi w:val="0"/>
        <w:jc w:val="both"/>
        <w:rPr>
          <w:rFonts w:ascii="Times New Roman" w:hAnsi="Times New Roman"/>
          <w:color w:val="000000"/>
          <w:sz w:val="18"/>
        </w:rPr>
      </w:pPr>
      <w:r>
        <w:rPr>
          <w:rFonts w:ascii="Times New Roman" w:hAnsi="Times New Roman"/>
          <w:color w:val="000000"/>
          <w:sz w:val="18"/>
        </w:rPr>
        <w:t>(3) Relates to reversal of previously recognized exit costs related to closure of the Group’s production facility in Singapore.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Europe &amp; International</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Europe &amp; International revenue increased $24.9 million, or 21.0%, to $143.1 million for the second quarter of 2026, compared to $118.2 million in the prior year period. Excluding a foreign currency exchange tailwind of $3.6 million, Europe &amp; International revenue for the second quarter was $139.5 million, or an increase of 18.0%. For the second quarter of 2026, the increase in revenue was primarily due to volume growth of 16.9%, mainly driven by growth in the Barista products. Approximately 77% of Europe &amp; International revenue was from the retail channel for the second quarter of 2026 compared to 79% in the prior year period. The sold finished goods volume for the three months ended June 30, 2026 and 2025 amounted to 94.8 and 81.1 million liters, respectively.</w:t>
      </w:r>
    </w:p>
    <w:p>
      <w:pPr>
        <w:pStyle w:val="TextBody"/>
        <w:bidi w:val="0"/>
        <w:jc w:val="both"/>
        <w:rPr>
          <w:rFonts w:ascii="Times New Roman" w:hAnsi="Times New Roman"/>
          <w:color w:val="000000"/>
          <w:sz w:val="20"/>
        </w:rPr>
      </w:pPr>
      <w:r>
        <w:rPr>
          <w:rFonts w:ascii="Times New Roman" w:hAnsi="Times New Roman"/>
          <w:color w:val="000000"/>
          <w:sz w:val="20"/>
        </w:rPr>
        <w:t>Europe &amp; International Adjusted EBITDA increased $0.7 million to $25.0 million for the second quarter of 2026 compared to $24.3 million in the prior year period. The improvement in Adjusted EBITDA was primarily driven by higher gross profit driven by higher revenue and continued supply chain productivity, partially offset by higher selling, general and administration expenses, mainly explained by higher branding and advertising costs and foreign currency exchange headwinds.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North America</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North America revenue increased $3.7 million, or 5.9%, to $66.9 million for the second quarter of 2026, compared to $63.2 million in the prior year period. The sold finished goods volume for the three months ended June 30, 2026 and 2025 amounted to 36.2 million and 35.5</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million liters, respectively. The 1.9% volume increase was mainly driven by growth in the retail channel. Approximately 63% of North America revenue was from the retail channel in the second quarter of 2026 compared to 59% in the prior year period.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North America Adjusted EBITDA increased $3.1 million to $0.7 million for the second quarter of 2026, compared to a loss of $2.4 million in the prior year period. The increase in Adjusted EBITDA was primarily due to higher gross profit.</w:t>
      </w:r>
    </w:p>
    <w:p>
      <w:pPr>
        <w:pStyle w:val="Heading2"/>
        <w:bidi w:val="0"/>
        <w:spacing w:before="160" w:after="120"/>
        <w:jc w:val="left"/>
        <w:rPr>
          <w:rFonts w:ascii="Times New Roman" w:hAnsi="Times New Roman"/>
          <w:color w:val="000000"/>
          <w:sz w:val="20"/>
        </w:rPr>
      </w:pPr>
      <w:r>
        <w:rPr>
          <w:rFonts w:ascii="Times New Roman" w:hAnsi="Times New Roman"/>
          <w:color w:val="000000"/>
          <w:sz w:val="20"/>
        </w:rPr>
        <w:t>Greater China</w:t>
      </w:r>
    </w:p>
    <w:p>
      <w:pPr>
        <w:pStyle w:val="TextBody"/>
        <w:bidi w:val="0"/>
        <w:spacing w:before="80" w:after="200"/>
        <w:jc w:val="both"/>
        <w:rPr>
          <w:rFonts w:ascii="Times New Roman" w:hAnsi="Times New Roman"/>
          <w:color w:val="000000"/>
          <w:sz w:val="20"/>
        </w:rPr>
      </w:pPr>
      <w:r>
        <w:rPr>
          <w:rFonts w:ascii="Times New Roman" w:hAnsi="Times New Roman"/>
          <w:color w:val="000000"/>
          <w:sz w:val="20"/>
        </w:rPr>
        <w:t xml:space="preserve">Greater China revenue increased $3.1 million, or 11.6%, to $30.1 million for the second quarter of 2026, compared to $27.0 million in the prior year period. Excluding a foreign currency exchange tailwind of $1.6 million in the quarter, Greater China revenue for the quarter was $28.5 million or an increase of 5.6%. The Greater China segment growth was primarily driven by increase in the retail channel and partially offset by a decline in the foodservice channel due to higher competition. Approximately 54% of Greater China revenue was from the foodservice channel for the second quarter of 2026 compared to 62% in the prior year period. The sold finished goods volume for the three months ended June 30, 2026 and 2025 amounted to 25.0 million and 23.7 million liters, respectively.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Greater China Adjusted EBITDA loss increased $0.8 million for a loss of $1.5 million in the second quarter of 2026, compared to a loss of $0.6 million in the prior year period. The decrease in Adjusted EBITDA is mainly explained by higher selling expenses.</w:t>
      </w:r>
    </w:p>
    <w:p>
      <w:pPr>
        <w:pStyle w:val="Heading2"/>
        <w:bidi w:val="0"/>
        <w:spacing w:before="160" w:after="120"/>
        <w:jc w:val="left"/>
        <w:rPr>
          <w:rFonts w:ascii="Times New Roman" w:hAnsi="Times New Roman"/>
          <w:color w:val="000000"/>
          <w:sz w:val="20"/>
        </w:rPr>
      </w:pPr>
      <w:r>
        <w:rPr>
          <w:rFonts w:ascii="Times New Roman" w:hAnsi="Times New Roman"/>
          <w:color w:val="000000"/>
          <w:sz w:val="20"/>
        </w:rPr>
        <w:t>Corporate</w:t>
      </w:r>
    </w:p>
    <w:p>
      <w:pPr>
        <w:pStyle w:val="TextBody"/>
        <w:bidi w:val="0"/>
        <w:jc w:val="both"/>
        <w:rPr>
          <w:rFonts w:ascii="Times New Roman" w:hAnsi="Times New Roman"/>
          <w:color w:val="000000"/>
          <w:sz w:val="20"/>
        </w:rPr>
      </w:pPr>
      <w:r>
        <w:rPr>
          <w:rFonts w:ascii="Times New Roman" w:hAnsi="Times New Roman"/>
          <w:color w:val="000000"/>
          <w:sz w:val="20"/>
        </w:rPr>
        <w:t xml:space="preserve">Oatly’s corporate expense, which consists of general costs not allocated to the segments, was $26.9 million in the second quarter of 2026, a decrease of $0.5 million compared to the prior year period, driven by continued actions to reduce general and administrative expenses but partially offset by foreign exchange headwinds. Adjusted EBITDA in the second quarter of 2026 was a loss of $23.8 million compared to a loss of $24.8 million in the prior year period.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Balance Sheet and Cash Flows</w:t>
      </w:r>
    </w:p>
    <w:p>
      <w:pPr>
        <w:pStyle w:val="TextBody"/>
        <w:bidi w:val="0"/>
        <w:jc w:val="both"/>
        <w:rPr>
          <w:rFonts w:ascii="Times New Roman" w:hAnsi="Times New Roman"/>
          <w:color w:val="000000"/>
          <w:sz w:val="20"/>
        </w:rPr>
      </w:pPr>
      <w:r>
        <w:rPr>
          <w:rFonts w:ascii="Times New Roman" w:hAnsi="Times New Roman"/>
          <w:color w:val="000000"/>
          <w:sz w:val="20"/>
        </w:rPr>
        <w:t>As of June 30, 2026, the Company had cash and cash equivalents of $44.6 million and total outstanding debt of $517.8 million consisting of Nordic Bonds, Convertible Notes and liabilities to credit institutions. Net cash used in operating activities was $1.6 million for the six months ended June 30, 2026, compared to $15.0 million during the prior year period, which was primarily driven by improved operating results.</w:t>
      </w:r>
    </w:p>
    <w:p>
      <w:pPr>
        <w:pStyle w:val="TextBody"/>
        <w:bidi w:val="0"/>
        <w:jc w:val="left"/>
        <w:rPr>
          <w:rFonts w:ascii="Times New Roman" w:hAnsi="Times New Roman"/>
          <w:color w:val="000000"/>
          <w:sz w:val="20"/>
        </w:rPr>
      </w:pPr>
      <w:r>
        <w:rPr>
          <w:rFonts w:ascii="Times New Roman" w:hAnsi="Times New Roman"/>
          <w:color w:val="000000"/>
          <w:sz w:val="20"/>
        </w:rPr>
        <w:t>Capital expenditures were $10.7 million for the six months ended June 30, 2026, which was flat compared to the prior year period.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Free cash flow was an outflow of $12.3 million for the six months ended June 30, 2026 compared to an outflow of $25.7 million during the prior year period. The improvement in free cash flow was driven by decreased net cash flows used in operating activities.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Free Cash Flow is a non-IFRS liquidity measure defined under “Non-IFRS financial measures.” Please see “Reconciliation of IFRS to Non-IFRS Financial measures” at the end of this press release.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Strategic Review of Greater China Business</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The Company continues its strategic review of the Company’s Greater China business.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While there is no definitive timetable for completing the strategic review, the Company expects to complete the strategic review within 2026. The Company does not intend to provide further updates unless and until the Board of Directors has approved a specific course of action or determines that additional disclosure is appropriate or required. The Company cautions that there can be no assurances that the process will result in any transaction or strategic change. </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Outlook</w:t>
      </w:r>
    </w:p>
    <w:p>
      <w:pPr>
        <w:pStyle w:val="TextBody"/>
        <w:bidi w:val="0"/>
        <w:jc w:val="both"/>
        <w:rPr>
          <w:rFonts w:ascii="Times New Roman" w:hAnsi="Times New Roman"/>
          <w:color w:val="000000"/>
          <w:sz w:val="20"/>
        </w:rPr>
      </w:pPr>
      <w:r>
        <w:rPr>
          <w:rFonts w:ascii="Times New Roman" w:hAnsi="Times New Roman"/>
          <w:color w:val="000000"/>
          <w:sz w:val="20"/>
        </w:rPr>
        <w:t>Based on the Company’s assessment of the current operating environment and the actions it is taking, the Company is raising its 2026 outlook for constant-currency revenue and reiterating its outlook for Adjusted EBITDA and capital expenditures.</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Constant currency revenue growth is now expected to be in the range of +8% to +10% (from +3% to +5% previously). Based on recent foreign exchange rates, the full-year impact of foreign exchange is expected to be a tailwind to revenue growth by approximately 200 to 250 basis points; up from the prior expectation of 100 to 200 basis points.</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Adjusted EBITDA is expected to be in the range of $25 million to $35 million (unchanged).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Capital expenditures are expected to be in the range of $20 million to $30 million (unchanged).</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outlook continues to include the expected results of the Greater China segment. As previously noted, there continue to be significant macroeconomic uncertainty and other geopolitical uncertainties and this outlook assumes that the impact from the conflict in the Middle East does not worsen from what is expected today.</w:t>
      </w:r>
    </w:p>
    <w:p>
      <w:pPr>
        <w:pStyle w:val="TextBody"/>
        <w:bidi w:val="0"/>
        <w:jc w:val="both"/>
        <w:rPr>
          <w:rFonts w:ascii="Times New Roman" w:hAnsi="Times New Roman"/>
          <w:color w:val="000000"/>
          <w:sz w:val="20"/>
        </w:rPr>
      </w:pPr>
      <w:r>
        <w:rPr>
          <w:rFonts w:ascii="Times New Roman" w:hAnsi="Times New Roman"/>
          <w:color w:val="000000"/>
          <w:sz w:val="20"/>
        </w:rPr>
        <w:t>The Company cannot provide a reconciliation of constant currency revenue growth or Adjusted EBITDA guidance to the nearest comparable corresponding IFRS metric without unreasonable efforts due to difficulty in predicting certain items excluded from these non-IFRS measures. The items necessary to reconcile are not within Oatly’s control, may vary greatly between periods and could significantly impact future financial results.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Conference Call, Webcast, Second Quarter 2026 Financial Report and Supplemental Presentation Details</w:t>
      </w:r>
    </w:p>
    <w:p>
      <w:pPr>
        <w:pStyle w:val="TextBody"/>
        <w:bidi w:val="0"/>
        <w:jc w:val="both"/>
        <w:rPr>
          <w:rFonts w:ascii="Times New Roman" w:hAnsi="Times New Roman"/>
          <w:color w:val="000000"/>
          <w:sz w:val="20"/>
        </w:rPr>
      </w:pPr>
      <w:r>
        <w:rPr>
          <w:rFonts w:ascii="Times New Roman" w:hAnsi="Times New Roman"/>
          <w:color w:val="000000"/>
          <w:sz w:val="20"/>
        </w:rPr>
        <w:t>Oatly will host a conference call and webcast at 8:00 a.m. ET today to discuss these results. The conference call, simultaneous, live webcast and supplemental presentation can be accessed on Oatly’s Investors website at https://investors.oatly.com under “Events”. The webcast will be archived for 30 days.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complete Second Quarter 2026 Financial Report is available on Oatly’s Investors website at https://investors.oatly.com under “Financials and Filings”.</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About Oatly</w:t>
      </w:r>
    </w:p>
    <w:p>
      <w:pPr>
        <w:pStyle w:val="TextBody"/>
        <w:bidi w:val="0"/>
        <w:jc w:val="both"/>
        <w:rPr>
          <w:rFonts w:ascii="Times New Roman" w:hAnsi="Times New Roman"/>
          <w:color w:val="000000"/>
          <w:sz w:val="20"/>
        </w:rPr>
      </w:pPr>
      <w:r>
        <w:rPr>
          <w:rFonts w:ascii="Times New Roman" w:hAnsi="Times New Roman"/>
          <w:color w:val="000000"/>
          <w:sz w:val="20"/>
        </w:rPr>
        <w:t>We are the world’s original and largest oat drink company. For over 30 years, we have exclusively focused on developing expertise around oats: a global power crop with inherent properties. Our commitment to oats has resulted in core technical advancements that enabled us to unlock the breadth of the dairy portfolio, including alternatives to milks, ice cream, yogurt, cooking creams, spreads and on-the-go drinks. Headquartered in Malmö, Sweden, the Oatly brand is available in more than 60 countries globally.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more information, please visit www.oatly.com.</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Forward-Looking Statements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This press release contains forward-looking statements within the meaning of the Private Securities Litigation Reform Act of 1995. Any express or implied statements contained in this press release that are not statements of historical fact may be deemed to be forward-looking statements, including, without limitation, statements regarding our financial outlook for 2026, profitability improvement, profitable growth in 2026, long-term growth strategy, expected capital expenditures, anticipated returns on our investments, anticipated supply chain performance, anticipated impact of our improvement plans, anticipated impact of our decision to discontinue construction of certain production facilities, plans to achieve profitable growth and anticipated cost savings and efficiencies as well as statements that include the words “expect”, “intend”, “plan”, “believe”, “project”, “forecast”, “estimate”, “may”, “should”, “anticipate”, “will”, “aim”, “potential”, “continue”, “is/are likely to” and similar statements of a future or forward-looking nature. Forward-looking statements are neither promises nor guarantees, but involve known and unknown risks and uncertainties that could cause actual results to differ materially from those projected, including, without limitation: we have a history of losses, and we may be unable to achieve or sustain profitability, including due to elevated inflation and increased costs for transportation, energy, and materials; our future business, financial condition and results of operations may be adversely affected by reduced or limited availability of oats and other raw materials and ingredients, which meet our quality standards, that our limited number of suppliers are able to sell to us; a failure to obtain necessary capital when needed on acceptable terms, or at all, may force us to delay, limit, reduce or terminate our product manufacturing and development and other operations; the primary components of all our products are manufactured in our production facilities, and damage or disruption at these facilities has in the past harmed, and may in the future harm, our business; our brand or reputation may be harmed due to real or perceived quality, food safety, nutrition or sustainability issues with our products, which could have an adverse effect on our business, reputation, financial condition and results of operations; food safety and food-borne illness incidents or other safety concerns have led to product recalls, and may materially adversely affect our business, financial condition and results of operations by exposing us to lawsuits or regulatory enforcement actions in the future, increasing our operating costs and reducing demand for our product offerings; failure by our suppliers of raw materials or co-manufacturers to comply with food safety, environmental or other laws and regulations, or with the specifications and requirements of our products, may disrupt our supply of products and adversely affect our business; we may not be able to compete successfully in our highly competitive markets; consolidation of customers, the loss of a significant customer or the decrease of sales from a significant customer, could negatively impact our sales and profitability; sales of our oatmilk varieties contribute a significant portion of our revenue and a reduction in such sales would have an adverse effect on our business, financial condition and results of operations; we continue to pursue largely an asset-light business model blending a heavy reliance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on our co-manufacturing partners in addition to in-house</w:t>
        <w:br/>
        <w:t xml:space="preserve">capacity expansions where appropriate; our strategic partnerships with our co-manufacturers may not be successful, which could adversely affect our operations and manufacturing strategy; failure by our logistics providers to deliver our products on time, or at all, could result in lost sales; we may not successfully ramp up operations at any of our or our co-manufacturing partners’ facilities, or these facilities may not operate in accordance with our expectations; if we fail to effectively expand our processing, manufacturing and production capacity through existing facilities or acceptable co-manufacturing partners as we continue to grow and scale our business to a steady operating level, our business, financial condition, results of operations and our brand reputation could be harmed; if we fail to develop and maintain our brand, our business could suffer; failure to develop or introduce new products or successfully improve existing products may adversely affect our ability to continue to grow; if we fail to cost-effectively acquire new customers and consumers or retain our existing customers and consumers, or if we fail to derive revenue from our existing customers consistent with our historical performance, our business could be materially adversely affected; consumer preferences for our products are difficult to predict and may change, and, if we are unable to respond quickly to new trends, our business may be adversely affected; if we fail to manage our future growth effectively, including maintenance of our workforce, our business, financial condition and results of operations could be materially adversely affected; we have recognized impairment charges for long-lived assets and other exit costs in connection with our production facilities, and we may need to recognize further costs in the future, which could adversely impact our business, financial condition and results of operations; we are subject to risks related to sustainability (including environmental, climate change and broader corporate social responsibility matters), which may materially adversely affect our business as a result of lawsuits, regulatory investigations and enforcement actions, complaints concerning our disclosures, impacts on our operations and supply chain (particularly in connection with the physical impacts of climate change), and impacts on our brand and reputation; we rely on information technology systems and any inadequacy, failure or interruption of, or cybersecurity incidents affecting, those systems may harm our reputation and ability to effectively operate our business; a cybersecurity incident or other technology disruptions could negatively impact our business and our relationships with customers; to remain competitive, we believe we will need to adopt artificial intelligence and other machine learning technologies; our customer agreements do not contain long-term commitments and do not require our customers to continue purchasing products from us and this may negatively impact our business or financial condition; we may face difficulties as we expand our operations into countries in which we have no prior operating experience; the strategic review of the Company’s Greater China operations may not be successful; our operations in China could expose us to substantial business, regulatory, political, financial and economic risks; the international nature of our business subjects us to additional global economic and geopolitical risks; if we fail to comply with trade compliance and economic sanctions laws and regulations of the United States (the “U.S.”), the EU and other applicable international jurisdictions, it could materially adversely affect our reputation and results of operations; some of our debt agreements contain a floating interest rate component and as a result, an increase in market interest rates will increase our future interest payments under such agreements; our international operations expose us to the risk of fluctuations in currency exchange rates; we maintain cash and cash equivalents at financial institutions, often in amounts exceeding insured limits, and the failure of one or more of these institutions could result in a loss of deposits and adversely affect our liquidity or ability to raise capital; packaging costs are volatile and may rise significantly, which may negatively impact the profitability of our business; fluctuations in our results of operations may impact, and may have a disproportionate effect on, our overall financial condition and results of operations; litigation or legal proceedings could expose us to significant liabilities or costs and have a negative impact on our reputation or business; our estimates of market opportunity and forecasts of market growth may prove to be inaccurate, and even if the market in which we compete achieves the forecasted growth, our business could fail to grow at similar rates, if at all; failure to retain our senior management or to attract, train and retain qualified employees may adversely affect our operations or our ability to grow successfully; if we cannot maintain our company culture or focus on our mission as we grow, our success and our business and competitive position may be harmed; our insurance may not provide adequate levels of coverage against claims or we may be unable to find insurance with sufficient coverage at a reasonable cost; disruptions in the worldwide economy may adversely affect our business, financial condition and results of operations; our business is affected by macroeconomic conditions, including international tariffs and trade wars, rising inflation, interest rates and supply chain constraints; we are subject to risks inherent to organizations with international operations, which could harm our business, and global conflicts, including the ongoing conflict in the Middle East; legal claims, government investigations or other regulatory enforcement actions could subject us to civil and criminal penalties; our operations are subject to U.S., EU, China and other laws and regulations, and there is no assurance that we will be in compliance with all applicable laws and regulations; changes in existing laws or regulations, or the adoption of new laws or regulations may increase our costs and otherwise adversely affect our business, financial condition and results of operations; we are subject to stringent environmental regulation and potentially subject to environmental litigation, proceedings and investigations; we may not be able to protect, enforce or defend our intellectual property and other proprietary rights adequately, which may impact our commercial success; we have incurred substantial indebtedness that may decrease our business flexibility, access to capital, and/or increase our future borrowing costs; and the other important factors discussed under the caption “Risk Factors” in our Annual Report on Form 20-F for the year ended December 31, 2025, filed with the U.S. Securities and Exchange Commission (“SEC”) on March 13, 2026, and our other filings with the SEC as such factors may be updated from time to time. Any forward-looking statements contained in this press release speak only as of the date hereof and accordingly undue reliance should not be placed on such statements. Oatly disclaims any obligation or undertaking to update or revise any forward-looking statements contained in this press release, whether as a result of new information, future events or otherwise, other than to the extent required by applicable law.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Non-IFRS Financial Measures</w:t>
      </w:r>
    </w:p>
    <w:p>
      <w:pPr>
        <w:pStyle w:val="TextBody"/>
        <w:bidi w:val="0"/>
        <w:jc w:val="both"/>
        <w:rPr>
          <w:rFonts w:ascii="Times New Roman" w:hAnsi="Times New Roman"/>
          <w:color w:val="000000"/>
          <w:sz w:val="20"/>
        </w:rPr>
      </w:pPr>
      <w:r>
        <w:rPr>
          <w:rFonts w:ascii="Times New Roman" w:hAnsi="Times New Roman"/>
          <w:color w:val="000000"/>
          <w:sz w:val="20"/>
        </w:rPr>
        <w:t xml:space="preserve">We use EBITDA, Adjusted EBITDA, Constant Currency Revenue as non-IFRS financial measures in assessing our operating performance and Free Cash Flow as a non-IFRS liquidity measure, and each in our financial communications. </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EBITDA” is defined as loss for the period adjusted to exclude, when applicable, income tax expense, finance expenses, finance income and depreciation and amortization expense.</w:t>
      </w:r>
    </w:p>
    <w:p>
      <w:pPr>
        <w:pStyle w:val="TextBody"/>
        <w:bidi w:val="0"/>
        <w:jc w:val="both"/>
        <w:rPr/>
      </w:pPr>
      <w:r>
        <w:rPr/>
        <w:t> </w:t>
      </w:r>
    </w:p>
    <w:p>
      <w:pPr>
        <w:pStyle w:val="TextBody"/>
        <w:bidi w:val="0"/>
        <w:jc w:val="both"/>
        <w:rPr>
          <w:color w:val="000000"/>
        </w:rPr>
      </w:pPr>
      <w:r>
        <w:rPr>
          <w:color w:val="000000"/>
        </w:rPr>
        <w:t>“</w:t>
      </w:r>
      <w:r>
        <w:rPr>
          <w:rFonts w:ascii="Times New Roman" w:hAnsi="Times New Roman"/>
          <w:color w:val="000000"/>
          <w:sz w:val="20"/>
        </w:rPr>
        <w:t>Adjusted EBITDA” is defined as loss for the period adjusted to exclude, when applicable, income tax expense, finance expenses, finance income, depreciation and amortization expense, share-based compensation expense, restructuring costs, costs related to the strategic review of the Greater China business, impacts related to the closure of production facility and non-controlling interests.</w:t>
      </w:r>
    </w:p>
    <w:p>
      <w:pPr>
        <w:pStyle w:val="TextBody"/>
        <w:bidi w:val="0"/>
        <w:jc w:val="righ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Adjusted EBITDA should not be considered as an alternative to loss for the period or any other measure of financial performance calculated and presented in accordance with IFRS. There are a number of limitations related to the use of Adjusted EBITDA rather than loss for the period, which is the most directly comparable IFRS measure. Some of these limitations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excludes depreciation and amortization expense and, although these are non-cash expenses, the assets being depreciated may have to be replaced in the future increasing our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interest expense, or the cash required to service our debt, which reduces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income tax payments that reduce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recurring share-based compensation expense and, therefore, does not include all of our compensation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Adjusted EBITDA does not reflect restructuring costs that reduce cash available to us in future periods;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does not reflect costs related to the strategic review of the Greater China business that reduce cash available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excludes impacts related to the closure of production facility, although some of these may reduce cash available to us in future periods;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companies, including companies in our industry, may calculate Adjusted EBITDA differently, which reduces its usefulness as a comparative measure.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Adjusted EBITDA should not be considered in isolation or as a substitute for financial information provided in accordance with IFRS. Below we have provided a reconciliation of EBITDA and Adjusted EBITDA to loss for the period, the most directly comparable financial measure calculated and presented in accordance with IFRS, for the periods presented.</w:t>
      </w:r>
    </w:p>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Constant Currency Revenue” is calculated by translating the current year reported revenue amounts into comparable amounts using the prior year reporting period’s average foreign exchange rates which have been provided by a third party. Constant Currency Revenue is a non-IFRS measure and is not a substitute for IFRS measures in assessing our overall financial performance.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Constant currency revenue is used to provide a framework in assessing how our business and geographic segments performed excluding the effects of foreign currency exchange rate fluctuations and we believe this information is useful to investors to facilitate comparisons and better identify trends in our business. Above we have provided a reconciliation of revenue as reported to revenue on a constant currency basis for the periods presented.</w:t>
      </w:r>
    </w:p>
    <w:p>
      <w:pPr>
        <w:pStyle w:val="TextBody"/>
        <w:bidi w:val="0"/>
        <w:jc w:val="left"/>
        <w:rPr>
          <w:color w:val="000000"/>
        </w:rPr>
      </w:pPr>
      <w:r>
        <w:rPr>
          <w:color w:val="000000"/>
        </w:rPr>
        <w:t>“</w:t>
      </w:r>
      <w:r>
        <w:rPr>
          <w:rFonts w:ascii="Times New Roman" w:hAnsi="Times New Roman"/>
          <w:color w:val="000000"/>
          <w:sz w:val="20"/>
        </w:rPr>
        <w:t>Free Cash Flow” is defined as net cash flows used in operating activities less capital expenditures. We believe Free Cash Flow is a useful supplemental financial measure for us and investors in assessing our ability to pursue business opportunities and investments. Free Cash Flow is not a measure of our liquidity under IFRS and should not be considered as an alternative to net cash flows used in operating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Free Cash Flow is a non-IFRS measure and is not a substitute for IFRS measures in assessing our overall financial liquidity. Because Free Cash Flow is not a measurement determined in accordance with IFRS, and is susceptible to varying calculations, it may not be comparable to other similarly titled measures presented by other companies. Free Cash Flow should not be considered in isolation, or as a substitute for an analysis of our results as reported on our interim condensed consolidated financial statements appearing elsewhere in this document. Below we have provided a reconciliation of Free Cash Flow to net cash flows used in operating activities for the periods presented.</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For further information:</w:t>
      </w:r>
    </w:p>
    <w:p>
      <w:pPr>
        <w:pStyle w:val="TextBody"/>
        <w:bidi w:val="0"/>
        <w:jc w:val="left"/>
        <w:rPr>
          <w:rFonts w:ascii="Times New Roman" w:hAnsi="Times New Roman"/>
          <w:b/>
          <w:color w:val="000000"/>
          <w:sz w:val="20"/>
        </w:rPr>
      </w:pPr>
      <w:r>
        <w:rPr>
          <w:rFonts w:ascii="Times New Roman" w:hAnsi="Times New Roman"/>
          <w:b/>
          <w:color w:val="000000"/>
          <w:sz w:val="20"/>
        </w:rPr>
        <w:t>Contact person</w:t>
      </w:r>
    </w:p>
    <w:p>
      <w:pPr>
        <w:pStyle w:val="TextBody"/>
        <w:bidi w:val="0"/>
        <w:jc w:val="left"/>
        <w:rPr>
          <w:rFonts w:ascii="Times New Roman" w:hAnsi="Times New Roman"/>
          <w:color w:val="000000"/>
          <w:sz w:val="20"/>
        </w:rPr>
      </w:pPr>
      <w:r>
        <w:rPr>
          <w:rFonts w:ascii="Times New Roman" w:hAnsi="Times New Roman"/>
          <w:color w:val="000000"/>
          <w:sz w:val="20"/>
        </w:rPr>
        <w:t>John Baumgartner, CFA, Vice President, Investor Relations</w:t>
      </w:r>
    </w:p>
    <w:p>
      <w:pPr>
        <w:pStyle w:val="TextBody"/>
        <w:bidi w:val="0"/>
        <w:jc w:val="left"/>
        <w:rPr>
          <w:rFonts w:ascii="Times New Roman" w:hAnsi="Times New Roman"/>
          <w:sz w:val="20"/>
        </w:rPr>
      </w:pPr>
      <w:r>
        <w:rPr>
          <w:rFonts w:ascii="Times New Roman" w:hAnsi="Times New Roman"/>
          <w:color w:val="000000"/>
          <w:sz w:val="20"/>
        </w:rPr>
        <w:t xml:space="preserve">E-mail: </w:t>
      </w:r>
      <w:r>
        <w:rPr>
          <w:rFonts w:ascii="Times New Roman" w:hAnsi="Times New Roman"/>
          <w:color w:val="0000FF"/>
          <w:sz w:val="20"/>
          <w:u w:val="single"/>
        </w:rPr>
        <w:t>investors@oatly.com</w:t>
      </w:r>
      <w:r>
        <w:rPr>
          <w:rFonts w:ascii="Times New Roman" w:hAnsi="Times New Roman"/>
          <w:color w:val="000000"/>
          <w:sz w:val="20"/>
        </w:rPr>
        <w:t xml:space="preserve">, </w:t>
      </w:r>
      <w:r>
        <w:rPr>
          <w:rFonts w:ascii="Times New Roman" w:hAnsi="Times New Roman"/>
          <w:color w:val="0000FF"/>
          <w:sz w:val="20"/>
          <w:u w:val="single"/>
        </w:rPr>
        <w:t>press@oatly.com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information is information that Oatly Group AB (publ) is obliged to make public pursuant to the EU Market Abuse Regulation. The information was submitted for publication, through the agency of the contact person set out above, at 07:00 ET on July 22, 2026.</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Interim Condensed Consolidated Statement of Operations</w:t>
      </w:r>
    </w:p>
    <w:tbl>
      <w:tblPr>
        <w:tblW w:w="10205" w:type="dxa"/>
        <w:jc w:val="left"/>
        <w:tblInd w:w="0" w:type="dxa"/>
        <w:tblLayout w:type="fixed"/>
        <w:tblCellMar>
          <w:top w:w="28" w:type="dxa"/>
          <w:left w:w="28" w:type="dxa"/>
          <w:bottom w:w="28" w:type="dxa"/>
          <w:right w:w="28" w:type="dxa"/>
        </w:tblCellMar>
      </w:tblPr>
      <w:tblGrid>
        <w:gridCol w:w="3764"/>
        <w:gridCol w:w="146"/>
        <w:gridCol w:w="146"/>
        <w:gridCol w:w="1141"/>
        <w:gridCol w:w="166"/>
        <w:gridCol w:w="146"/>
        <w:gridCol w:w="146"/>
        <w:gridCol w:w="1141"/>
        <w:gridCol w:w="166"/>
        <w:gridCol w:w="146"/>
        <w:gridCol w:w="146"/>
        <w:gridCol w:w="1141"/>
        <w:gridCol w:w="166"/>
        <w:gridCol w:w="146"/>
        <w:gridCol w:w="146"/>
        <w:gridCol w:w="1141"/>
        <w:gridCol w:w="211"/>
      </w:tblGrid>
      <w:tr>
        <w:trPr/>
        <w:tc>
          <w:tcPr>
            <w:tcW w:w="3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br/>
              <w:t>(in thousands of U.S. dollars, except share and per share and ADS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81,364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67,625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157,704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129,955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(40,707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(30,705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(54,032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(42,958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(63,212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(31,336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(68,477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Attributable to: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per share, attributable to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Loss per ADS, attributable to shareholders of the parent </w:t>
              <w:br/>
              <w:t>(1 ADS representing 20 ordinary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common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7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629,121,235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601,195,247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626,823,384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599,884,824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Interim Condensed Consolidated Statement of Financial Position</w:t>
      </w:r>
    </w:p>
    <w:tbl>
      <w:tblPr>
        <w:tblW w:w="7507" w:type="dxa"/>
        <w:jc w:val="left"/>
        <w:tblInd w:w="0" w:type="dxa"/>
        <w:tblLayout w:type="fixed"/>
        <w:tblCellMar>
          <w:top w:w="28" w:type="dxa"/>
          <w:left w:w="28" w:type="dxa"/>
          <w:bottom w:w="28" w:type="dxa"/>
          <w:right w:w="28" w:type="dxa"/>
        </w:tblCellMar>
      </w:tblPr>
      <w:tblGrid>
        <w:gridCol w:w="4201"/>
        <w:gridCol w:w="146"/>
        <w:gridCol w:w="146"/>
        <w:gridCol w:w="991"/>
        <w:gridCol w:w="166"/>
        <w:gridCol w:w="146"/>
        <w:gridCol w:w="192"/>
        <w:gridCol w:w="1308"/>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294,688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37,907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498,820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522,010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265,187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787,197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contributed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1,641,601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reserves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(1,434,724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(1,397,805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Equity attributable to shareholders of the parent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(24,471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loans and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192,618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210,209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loans and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557,317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767,499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767,526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EQUITY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744,000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787,197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Interim Condensed Consolidated Statement of Cash Flows</w:t>
      </w:r>
    </w:p>
    <w:tbl>
      <w:tblPr>
        <w:tblW w:w="10205" w:type="dxa"/>
        <w:jc w:val="left"/>
        <w:tblInd w:w="0" w:type="dxa"/>
        <w:tblLayout w:type="fixed"/>
        <w:tblCellMar>
          <w:top w:w="28" w:type="dxa"/>
          <w:left w:w="28" w:type="dxa"/>
          <w:bottom w:w="28" w:type="dxa"/>
          <w:right w:w="28" w:type="dxa"/>
        </w:tblCellMar>
      </w:tblPr>
      <w:tblGrid>
        <w:gridCol w:w="7572"/>
        <w:gridCol w:w="146"/>
        <w:gridCol w:w="146"/>
        <w:gridCol w:w="736"/>
        <w:gridCol w:w="166"/>
        <w:gridCol w:w="146"/>
        <w:gridCol w:w="146"/>
        <w:gridCol w:w="736"/>
        <w:gridCol w:w="411"/>
      </w:tblGrid>
      <w:tr>
        <w:trPr/>
        <w:tc>
          <w:tcPr>
            <w:tcW w:w="7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flows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Depreciation of property, plant and equipment and right-of-use assets and amortization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Write-downs of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Impairment loss/(gain) on 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Movements in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Loss on disposal of property, plant and equipment and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Increase in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Decrease in trade receivables, other current receivables, prepaid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r>
              <w:rPr>
                <w:rFonts w:ascii="Times New Roman" w:hAnsi="Times New Roman"/>
                <w:color w:val="000000"/>
                <w:sz w:val="20"/>
              </w:rPr>
              <w:t>Increase in trade payables, other current liabilities,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flows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(10,220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liabilities to credit institutions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liabilities to credit institutions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loan 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(8,151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(33,376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98,923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5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Exchange rate differences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5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67,931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Reconciliation of IFRS to Non-IFRS Financial Measures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Reconciliation of EBITDA and Adjusted EBITDA to Loss for the Period</w:t>
      </w:r>
    </w:p>
    <w:tbl>
      <w:tblPr>
        <w:tblW w:w="8670" w:type="dxa"/>
        <w:jc w:val="left"/>
        <w:tblInd w:w="0" w:type="dxa"/>
        <w:tblLayout w:type="fixed"/>
        <w:tblCellMar>
          <w:top w:w="28" w:type="dxa"/>
          <w:left w:w="28" w:type="dxa"/>
          <w:bottom w:w="28" w:type="dxa"/>
          <w:right w:w="28" w:type="dxa"/>
        </w:tblCellMar>
      </w:tblPr>
      <w:tblGrid>
        <w:gridCol w:w="3706"/>
        <w:gridCol w:w="146"/>
        <w:gridCol w:w="156"/>
        <w:gridCol w:w="787"/>
        <w:gridCol w:w="177"/>
        <w:gridCol w:w="156"/>
        <w:gridCol w:w="156"/>
        <w:gridCol w:w="787"/>
        <w:gridCol w:w="166"/>
        <w:gridCol w:w="146"/>
        <w:gridCol w:w="146"/>
        <w:gridCol w:w="736"/>
        <w:gridCol w:w="166"/>
        <w:gridCol w:w="146"/>
        <w:gridCol w:w="146"/>
        <w:gridCol w:w="736"/>
        <w:gridCol w:w="21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for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(income) and expenses,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12,627</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(4,684</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Restructuring costs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Strategic review of Greater China business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Closure of production facility</w:t>
            </w:r>
            <w:r>
              <w:rPr>
                <w:rFonts w:ascii="Times New Roman" w:hAnsi="Times New Roman"/>
                <w:color w:val="000000"/>
                <w:sz w:val="13"/>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Non-controlling interests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20" w:after="283"/>
        <w:jc w:val="both"/>
        <w:rPr>
          <w:rFonts w:ascii="Times New Roman" w:hAnsi="Times New Roman"/>
          <w:color w:val="000000"/>
          <w:sz w:val="18"/>
        </w:rPr>
      </w:pPr>
      <w:r>
        <w:rPr>
          <w:rFonts w:ascii="Times New Roman" w:hAnsi="Times New Roman"/>
          <w:color w:val="000000"/>
          <w:sz w:val="18"/>
        </w:rPr>
        <w:t>(1) Relates primarily to severance costs as the Group adjusts its organizational structure.</w:t>
      </w:r>
    </w:p>
    <w:p>
      <w:pPr>
        <w:pStyle w:val="TextBody"/>
        <w:bidi w:val="0"/>
        <w:jc w:val="both"/>
        <w:rPr>
          <w:rFonts w:ascii="Times New Roman" w:hAnsi="Times New Roman"/>
          <w:color w:val="000000"/>
          <w:sz w:val="18"/>
        </w:rPr>
      </w:pPr>
      <w:r>
        <w:rPr>
          <w:rFonts w:ascii="Times New Roman" w:hAnsi="Times New Roman"/>
          <w:color w:val="000000"/>
          <w:sz w:val="18"/>
        </w:rPr>
        <w:t>(2) Relates to costs for the strategic review of the Greater China segment.</w:t>
      </w:r>
    </w:p>
    <w:p>
      <w:pPr>
        <w:pStyle w:val="TextBody"/>
        <w:bidi w:val="0"/>
        <w:jc w:val="both"/>
        <w:rPr>
          <w:rFonts w:ascii="Times New Roman" w:hAnsi="Times New Roman"/>
          <w:color w:val="000000"/>
          <w:sz w:val="18"/>
        </w:rPr>
      </w:pPr>
      <w:r>
        <w:rPr>
          <w:rFonts w:ascii="Times New Roman" w:hAnsi="Times New Roman"/>
          <w:color w:val="000000"/>
          <w:sz w:val="18"/>
        </w:rPr>
        <w:t>(3) Relates to reversal of previously recognized exit costs related to closure of the Group’s production facility in Singapore.</w:t>
      </w:r>
    </w:p>
    <w:p>
      <w:pPr>
        <w:pStyle w:val="TextBody"/>
        <w:bidi w:val="0"/>
        <w:jc w:val="both"/>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Reconciliation of Free Cash Flow to Net Cash Flows used in Operating Activities</w:t>
      </w:r>
      <w:r>
        <w:rPr>
          <w:rFonts w:ascii="Times New Roman" w:hAnsi="Times New Roman"/>
          <w:color w:val="000000"/>
          <w:sz w:val="20"/>
        </w:rPr>
        <w:t xml:space="preserve"> </w:t>
      </w:r>
    </w:p>
    <w:tbl>
      <w:tblPr>
        <w:tblW w:w="8504" w:type="dxa"/>
        <w:jc w:val="left"/>
        <w:tblInd w:w="0" w:type="dxa"/>
        <w:tblLayout w:type="fixed"/>
        <w:tblCellMar>
          <w:top w:w="28" w:type="dxa"/>
          <w:left w:w="28" w:type="dxa"/>
          <w:bottom w:w="28" w:type="dxa"/>
          <w:right w:w="28" w:type="dxa"/>
        </w:tblCellMar>
      </w:tblPr>
      <w:tblGrid>
        <w:gridCol w:w="3541"/>
        <w:gridCol w:w="146"/>
        <w:gridCol w:w="173"/>
        <w:gridCol w:w="751"/>
        <w:gridCol w:w="197"/>
        <w:gridCol w:w="173"/>
        <w:gridCol w:w="173"/>
        <w:gridCol w:w="751"/>
        <w:gridCol w:w="166"/>
        <w:gridCol w:w="146"/>
        <w:gridCol w:w="146"/>
        <w:gridCol w:w="736"/>
        <w:gridCol w:w="166"/>
        <w:gridCol w:w="146"/>
        <w:gridCol w:w="146"/>
        <w:gridCol w:w="736"/>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(Unaudited)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 of U.S. dollars)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3,637</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w:t>
            </w:r>
          </w:p>
        </w:tc>
        <w:tc>
          <w:tcPr>
            <w:tcW w:w="1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7044</Words>
  <Characters>38445</Characters>
  <CharactersWithSpaces>46542</CharactersWithSpaces>
  <Paragraphs>3483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