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0</wp:posOffset>
                </wp:positionV>
                <wp:extent cx="14605" cy="175260"/>
                <wp:effectExtent l="0" t="0" r="0" b="0"/>
                <wp:wrapNone/>
                <wp:docPr id="1" name="Frame1"/>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Xu Lifen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ANGFARJEKAJEN 8</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MALMO</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211 19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SWEDEN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Oatly Group AB</w:t>
              </w:r>
            </w:hyperlink>
            <w:r>
              <w:rPr/>
              <w:t xml:space="preserve"> [ </w:t>
            </w:r>
            <w:r>
              <w:rPr>
                <w:rFonts w:ascii="Times;serif" w:hAnsi="Times;serif"/>
                <w:color w:val="0000FF"/>
                <w:sz w:val="24"/>
                <w:shd w:fill="FFFFFF" w:val="clear"/>
              </w:rPr>
              <w:t>OTLY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Timothy Sjovall, pursuant to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hanging="0"/>
        <w:jc w:val="center"/>
        <w:rPr>
          <w:rFonts w:ascii="Times New Roman" w:hAnsi="Times New Roman"/>
          <w:sz w:val="20"/>
        </w:rPr>
      </w:pPr>
      <w:bookmarkStart w:id="2" w:name="otly-ex24.htm"/>
      <w:bookmarkStart w:id="3" w:name="ksotlyex24"/>
      <w:bookmarkEnd w:id="2"/>
      <w:bookmarkEnd w:id="3"/>
      <w:r>
        <w:rPr>
          <w:rFonts w:ascii="Times New Roman" w:hAnsi="Times New Roman"/>
          <w:b/>
          <w:caps/>
          <w:color w:val="000000"/>
          <w:sz w:val="22"/>
        </w:rPr>
        <w:t>Section</w:t>
      </w:r>
      <w:r>
        <w:rPr>
          <w:rFonts w:ascii="Times New Roman" w:hAnsi="Times New Roman"/>
          <w:color w:val="000000"/>
          <w:sz w:val="20"/>
        </w:rPr>
        <w:t xml:space="preserve"> </w:t>
      </w:r>
      <w:r>
        <w:rPr>
          <w:rFonts w:ascii="Times New Roman" w:hAnsi="Times New Roman"/>
          <w:b/>
          <w:color w:val="000000"/>
          <w:sz w:val="22"/>
        </w:rPr>
        <w:t>16</w:t>
      </w:r>
      <w:r>
        <w:br w:type="page"/>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Pontus Mattsson, Timothy Sjövall, John Baumgartner, Martin Lind, Suzanne Lindstén and Johanna Ståhl, or any of them, the undersigned’s true and lawful attorney-in-fact 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(1) execute for and on behalf of the undersigned, in the undersigned’s capacity as an officer and/or director of Oatly Group AB (publ)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Forms 3, 4, and 5 in accordance with Section 16(a) of the Securities Exchange Act of 1934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and the rules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spacing w:before="0" w:after="480"/>
        <w:jc w:val="both"/>
        <w:rPr>
          <w:rFonts w:ascii="Times New Roman" w:hAnsi="Times New Roman"/>
          <w:sz w:val="20"/>
        </w:rPr>
      </w:pPr>
      <w:r>
        <w:rPr>
          <w:rFonts w:ascii="Times New Roman" w:hAnsi="Times New Roman"/>
          <w:color w:val="000000"/>
          <w:sz w:val="22"/>
        </w:rPr>
        <w:t>IN WITNESS WHEREOF, the undersigned has caused this Power of Attorney to be executed as of this 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w:t>
      </w:r>
    </w:p>
    <w:tbl>
      <w:tblPr>
        <w:tblW w:w="1997" w:type="dxa"/>
        <w:jc w:val="left"/>
        <w:tblInd w:w="0" w:type="dxa"/>
        <w:tblLayout w:type="fixed"/>
        <w:tblCellMar>
          <w:top w:w="28" w:type="dxa"/>
          <w:left w:w="28" w:type="dxa"/>
          <w:bottom w:w="28" w:type="dxa"/>
          <w:right w:w="28" w:type="dxa"/>
        </w:tblCellMar>
      </w:tblPr>
      <w:tblGrid>
        <w:gridCol w:w="736"/>
        <w:gridCol w:w="1261"/>
      </w:tblGrid>
      <w:tr>
        <w:trPr/>
        <w:tc>
          <w:tcPr>
            <w:tcW w:w="7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Lifen Xu</w:t>
            </w:r>
          </w:p>
        </w:tc>
      </w:tr>
      <w:tr>
        <w:trPr/>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12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Lifen Xu</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204" TargetMode="External"/><Relationship Id="rId3" Type="http://schemas.openxmlformats.org/officeDocument/2006/relationships/hyperlink" Target="http://www.sec.gov/cgi-bin/browse-edgar?action=getcompany&amp;CIK=00018435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4450</Characters>
  <CharactersWithSpaces>5234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