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Christenson Gregory Stephen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WEST 5TH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X1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TX 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23,656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33,145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9,726 RSUs vested on May 31, 2026, and the remainder of the RSUs vest in connection with the Issuer's next annual general meeting. Each RSU represents a right to receive one ADS in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13,930 RSUs will vest in full on the date of the Issuer's next annual general meeting, subject to the Reporting Person's continued service as a director through such vesting date. There are no voting or dividend rights prior to vesting.</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360" w:right="359"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80" w:lineRule="exact"/>
        <w:rPr>
          <w:sz w:val="20"/>
          <w:szCs w:val="20"/>
          <w:color w:val="auto"/>
        </w:rPr>
      </w:pPr>
    </w:p>
    <w:p>
      <w:pPr>
        <w:jc w:val="both"/>
        <w:ind w:left="360" w:right="359" w:firstLine="632"/>
        <w:spacing w:after="0" w:line="248" w:lineRule="auto"/>
        <w:tabs>
          <w:tab w:leader="none" w:pos="13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8"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2"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360" w:right="359"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360" w:right="359"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360" w:right="3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24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Gregory Christenson</w:t>
            </w: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Gregory Christenson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2118995</wp:posOffset>
            </wp:positionV>
            <wp:extent cx="69469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4254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68689"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2026-06-02T18:22:18Z</dcterms:created>
  <dcterms:modified xsi:type="dcterms:W3CDTF">2026-06-02T18:22:18Z</dcterms:modified>
</cp:coreProperties>
</file>