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Oatly Group AB (publ)</w:t>
      </w:r>
    </w:p>
    <w:p>
      <w:pPr>
        <w:spacing w:after="0" w:line="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28, 2026, the Company issued a press release announcing its financial results for the quarter ended September 30, 2026. A copy of the press release is furnished as Exhibit 99.1 to this Report on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1387475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83" w:right="5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(publ), dated October 28, 2026</w:t>
            </w:r>
          </w:p>
        </w:tc>
      </w:tr>
      <w:tr>
        <w:trPr>
          <w:trHeight w:val="99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700" w:type="dxa"/>
            <w:vAlign w:val="bottom"/>
            <w:tcBorders>
              <w:top w:val="single" w:sz="8" w:color="0000FF"/>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Oatly Group AB (publ)</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720" w:type="dxa"/>
            <w:vAlign w:val="bottom"/>
          </w:tcPr>
          <w:p>
            <w:pPr>
              <w:spacing w:after="0"/>
              <w:rPr>
                <w:sz w:val="16"/>
                <w:szCs w:val="16"/>
                <w:color w:val="auto"/>
              </w:rPr>
            </w:pPr>
          </w:p>
        </w:tc>
        <w:tc>
          <w:tcPr>
            <w:tcW w:w="27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72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7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167640</wp:posOffset>
            </wp:positionV>
            <wp:extent cx="16027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Reports Third Quarter 2026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MALMÖ, Sweden, October 28, 2026 – Oatly Group AB (publ) (Nasdaq: OTLY) (“Oatly”, the “Company” or the “Group”), the world’s original and largest oat drink company, today announced financial results for the third quarter ended September 30, 2026.</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Jean-Christophe Flatin, Oatly’s CEO, commented, “I am pleased to report another quarter of strong revenue growth accompanied by substantial improvement in our Adjusted EBITDA. Our third quarter results reflect continued strong returns from our growth playbook including growth in market share, household penetration, and distribution. The quarter’s strong Adjusted EBITDA reflects improvement in our mix of customers, channels, and products. I am proud of our business year-to-date resilience absorbing cost inflation while maintaining investments for growth. I am also excited to announce the launch of our new Fiber beverage platform which expands our portfolio in the wellness space and leverages our core identity, created through over 30 years of expertise, in oats as a natural source of dietary fiber.”</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 continued, “Despite elevated macro volatility, we maintain our outlook for Constant Currency Revenue growth for the 2026 year. However, similar to food and beverage peers, we are impacted by the latest wave of fuel and freight inflation in North America which has been stronger and faster than expected. We possess multiple levers to offset this pressure, but timing delays will adversely impact our profit in the fourth quarter and result in our reduced outlook for Adjusted EBITDA for the 2026 year. We remain steadfast in our growth investments and focus on delivering consistent and profitable growth over time.”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reconcile revenue as reported to revenue on a constant currency basis by segment for the three and nine months ended September 30, 2026 and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40" w:type="dxa"/>
            <w:vAlign w:val="bottom"/>
            <w:vMerge w:val="continue"/>
          </w:tcPr>
          <w:p>
            <w:pPr>
              <w:spacing w:after="0"/>
              <w:rPr>
                <w:sz w:val="5"/>
                <w:szCs w:val="5"/>
                <w:color w:val="auto"/>
              </w:rPr>
            </w:pPr>
          </w:p>
        </w:tc>
        <w:tc>
          <w:tcPr>
            <w:tcW w:w="174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760" w:type="dxa"/>
            <w:vAlign w:val="bottom"/>
            <w:vMerge w:val="restart"/>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2"/>
            <w:vMerge w:val="restart"/>
          </w:tcPr>
          <w:p>
            <w:pPr>
              <w:jc w:val="right"/>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7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5"/>
                <w:szCs w:val="5"/>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080" w:type="dxa"/>
            <w:vAlign w:val="bottom"/>
            <w:gridSpan w:val="2"/>
            <w:vMerge w:val="continue"/>
          </w:tcPr>
          <w:p>
            <w:pPr>
              <w:spacing w:after="0"/>
              <w:rPr>
                <w:sz w:val="5"/>
                <w:szCs w:val="5"/>
                <w:color w:val="auto"/>
              </w:rPr>
            </w:pPr>
          </w:p>
        </w:tc>
        <w:tc>
          <w:tcPr>
            <w:tcW w:w="98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1200" w:type="dxa"/>
            <w:vAlign w:val="bottom"/>
            <w:gridSpan w:val="2"/>
            <w:vMerge w:val="restart"/>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8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vMerge w:val="restart"/>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40" w:type="dxa"/>
            <w:vAlign w:val="bottom"/>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148,471</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2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63,877</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128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1200" w:type="dxa"/>
            <w:vAlign w:val="bottom"/>
            <w:tcBorders>
              <w:bottom w:val="single" w:sz="8" w:color="CFF0FC"/>
            </w:tcBorders>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242,541</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40" w:type="dxa"/>
            <w:vAlign w:val="bottom"/>
          </w:tcPr>
          <w:p>
            <w:pPr>
              <w:spacing w:after="0"/>
              <w:rPr>
                <w:sz w:val="9"/>
                <w:szCs w:val="9"/>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40" w:type="dxa"/>
            <w:vAlign w:val="bottom"/>
          </w:tcPr>
          <w:p>
            <w:pPr>
              <w:spacing w:after="0"/>
              <w:rPr>
                <w:sz w:val="5"/>
                <w:szCs w:val="5"/>
                <w:color w:val="auto"/>
              </w:rPr>
            </w:pPr>
          </w:p>
        </w:tc>
        <w:tc>
          <w:tcPr>
            <w:tcW w:w="174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760" w:type="dxa"/>
            <w:vAlign w:val="bottom"/>
            <w:vMerge w:val="restart"/>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2"/>
            <w:vMerge w:val="restart"/>
          </w:tcPr>
          <w:p>
            <w:pPr>
              <w:jc w:val="right"/>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7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5"/>
                <w:szCs w:val="5"/>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080" w:type="dxa"/>
            <w:vAlign w:val="bottom"/>
            <w:gridSpan w:val="2"/>
            <w:vMerge w:val="continue"/>
          </w:tcPr>
          <w:p>
            <w:pPr>
              <w:spacing w:after="0"/>
              <w:rPr>
                <w:sz w:val="5"/>
                <w:szCs w:val="5"/>
                <w:color w:val="auto"/>
              </w:rPr>
            </w:pPr>
          </w:p>
        </w:tc>
        <w:tc>
          <w:tcPr>
            <w:tcW w:w="98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1200" w:type="dxa"/>
            <w:vAlign w:val="bottom"/>
            <w:gridSpan w:val="2"/>
            <w:vMerge w:val="restart"/>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6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8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vMerge w:val="restart"/>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427,108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427,108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410,987</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2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192,923</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86,773</w:t>
            </w:r>
          </w:p>
        </w:tc>
        <w:tc>
          <w:tcPr>
            <w:tcW w:w="128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200" w:type="dxa"/>
            <w:vAlign w:val="bottom"/>
            <w:tcBorders>
              <w:bottom w:val="single" w:sz="8" w:color="CFF0FC"/>
            </w:tcBorders>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20,791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690,683</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-1516380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-1516380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-1516380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-1516380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-1516380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-170815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21" w:lineRule="exact"/>
        <w:rPr>
          <w:sz w:val="20"/>
          <w:szCs w:val="20"/>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revenue of $243.1 million, a 9.1% increase compared to the prior year period, with a Constant Currency Revenue increase of 8.9% compared to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in the third quarter was 34.1%, which is a 4.4 percentage point increase compared to the prior year period.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net loss attributable to shareholders of the parent was $27.5 million, compared to a net loss attributable to shareholders of the parent of $65.3 million in the prior year period.</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Adjusted EBITDA was $9.4 million, which is an improvement of $6.3 million compared to Adjusted EBITDA of $3.1 million in the prior year period.</w:t>
      </w:r>
    </w:p>
    <w:p>
      <w:pPr>
        <w:sectPr>
          <w:pgSz w:w="11900" w:h="16838" w:orient="portrait"/>
          <w:cols w:equalWidth="0" w:num="1">
            <w:col w:w="11240"/>
          </w:cols>
          <w:pgMar w:left="320" w:top="772"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4" w:name="page5"/>
    <w:bookmarkEnd w:id="4"/>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outlook is as follows (including an updated 2026 Adjusted EBITDA outlook):</w:t>
      </w:r>
    </w:p>
    <w:p>
      <w:pPr>
        <w:spacing w:after="0" w:line="185" w:lineRule="exact"/>
        <w:rPr>
          <w:sz w:val="20"/>
          <w:szCs w:val="20"/>
          <w:color w:val="auto"/>
        </w:rPr>
      </w:pPr>
    </w:p>
    <w:p>
      <w:pPr>
        <w:jc w:val="both"/>
        <w:ind w:left="1540" w:hanging="514"/>
        <w:spacing w:after="0" w:line="26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+8% to +10% (unchanged from our prior outlook). Based on recent foreign exchange rates, the full-year impact of foreign exchange is expected to be a tailwind to revenue growth by approximately 200 to 250 basis points; also unchanged relative to our prior outlook.</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now expected to be in the range of $16 million to $20 million relative to our prior outlook of $25 million to $35 million.</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in the range of $20 million to $30 million (unchanged).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made in the context of elevated macro volatility and based on current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$20.3 million, or 9.1% to $243.1 million for the third quarter ended September 30, 2026, compared to $222.8 million for the prior year period. Excluding a foreign currency exchange tailwind of $0.5 million, revenue for the third quarter was $242.5 million, or an increase of 8.9% compared to the prior year period. The growth in Constant Currency Revenue was driven by another quarter of accelerating growth in Europe &amp; International, growth in North America driven mainly by the retail channel, partially offset by volume decline in Greater China driven by competition in the foodservice channel. Sold volume for the third quarter of 2026 increased 4.2% to 156.9 million liters compared to 150.6 million liters in the third quarter of 2025. Produced finished goods volume for the third quarter of 2026 was 164.9 million liters compared to 147.6 million liters for the third quarter of 2025.</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$83.0 million for the third quarter of 2026 compared to $66.3 million for the third quarter of 2025. Gross profit margin was 34.1% in the third quarter of 2026, an increase of 436 basis points compared to the prior year period. The margin improvement compared to the third quarter of 2025 was due to improvements in supply chain efficiency and price/mix across all regions, partially offset by the impact of the conflict in the Middle East on energy and logistics costs as well as freight market constraints in the United States.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 the third quarter of 2026 were $4.6 million compared to $4.5 million in the prior year period.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 the third quarter of 2026 increased $10.2 million to $85.3 million compared to $75.1 million in the prior year period. The increase was mainly driven by increased branding and advertising expenses, higher customer distribution costs due to increased sold volumes and increased inflation driven by the conflict in the Middle East, partially offset by continued actions to reduce general and administrative expenses.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operating income and (expenses), net for the third quarter of 2026 was an expense of $2.3 million, comprised primarily of $2.4 million in costs and non-cash impairments related to the strategic review of the Greater China segment partially offset by net foreign exchange gains and grants. Other operating income and (expenses), net for the prior year period was an expense of $3.6 million comprised primarily of $3.5 million in costs for the Company’s strategic review of the Greater China segment.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and (expenses), net for the third quarter of 2026 was an expense of $16.1 million comprised primarily of net interest expenses of $13.8 million and fair value losses on Convertible Notes of $0.9 million. The finance income and (expenses), net for the prior year period was an expense of $47.6 million comprised primarily of fair value losses on Convertible Notes of $32.2 million and net interest expenses of $15.2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shareholders of the parent was $27.5 million for the third quarter of 2026 compared to a loss of $65.3 million in the prior year period.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third quarter of 2026 was $9.4 million, compared to $3.1 million in the prior year period. The improvement in Adjusted EBITDA was primarily a result of higher gross profit.</w:t>
      </w:r>
    </w:p>
    <w:p>
      <w:pPr>
        <w:spacing w:after="0" w:line="1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and Constant Currency Revenue are non-IFRS financial measures defined under “Non-IFRS Financial Measures”. Please see above revenue at constant currency table and “Reconciliation of IFRS to Non-IFRS Financial Measures” at the end of this press release.</w:t>
      </w:r>
    </w:p>
    <w:p>
      <w:pPr>
        <w:spacing w:after="0" w:line="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147,591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31,965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31,514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(20,519)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30,743</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(4,468)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(22,857)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(16,066)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(25,255)</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123,397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(19,076)</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(47,557)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427,108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(1,582)</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428,690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192,953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91,413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(1,582)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88,076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(4,127)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(70,860)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(1,776)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(9,687)</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86,188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(8,464)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(78,172)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(30,364)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(37,851)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(68,213)</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350,399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61,673</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(65,909)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(1,487)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(1,551)</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60,322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(5,065)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(73,298)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(35,735)</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Corporate consists of general costs not allocated to the segments.</w:t>
      </w:r>
    </w:p>
    <w:p>
      <w:pPr>
        <w:spacing w:after="0" w:line="26" w:lineRule="exact"/>
        <w:rPr>
          <w:sz w:val="20"/>
          <w:szCs w:val="20"/>
          <w:color w:val="auto"/>
        </w:rPr>
      </w:pPr>
    </w:p>
    <w:p>
      <w:pPr>
        <w:ind w:right="100" w:firstLine="8"/>
        <w:spacing w:after="0" w:line="264" w:lineRule="auto"/>
        <w:tabs>
          <w:tab w:leader="none" w:pos="24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2026 refers to intersegment revenue for sales of products from Europe &amp; International to Greater China and North America. Eliminations in 2025 refers to intersegment revenue for sales of products from Europe &amp; International to Greater China.</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ind w:right="2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 mainly consisting of non-cash impairments and cost for external consultants during 2026 and mainly cost for external consultants during 2025.</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&amp; International revenue increased $24.0 million, or 19.5%, to $147.2 million for the third quarter of 2026, compared to $123.3 million in the prior year period. Excluding a foreign currency exchange headwind of $1.2 million, Europe &amp; International revenue for the third quarter was $148.5 million, or an increase of 20.4%. For the third quarter of 2026, the increase in revenue was primarily due to volume growth of 17.6%, mainly driven by growth in the Barista products. Approximately 78% of Europe &amp; International revenue was from the retail channel for the third quarter of 2026 compared to 79% in the prior year period. The sold finished goods volume for the three months ended September 30, 2026 and 2025 amounted to 98.3 and 83.6 million liters, respectively.</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Europe &amp; International Adjusted EBITDA increased $9.6 million to $31.5 million for the third quarter of 2026 compared to $21.9 million in the prior year period. The improvement in Adjusted EBITDA was primarily driven by higher gross profit driven by higher revenue and continued supply chain productivity, partially offset by higher selling, general and administration expenses, mainly explained by higher customer distribution costs due to increased sold volumes and increased inflation driven by the conflict in the Middle East, and higher branding and advertising costs.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7" w:name="page8"/>
    <w:bookmarkEnd w:id="7"/>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America revenue increased $1.7 million, or 2.8%, to $63.8 million for the third quarter of 2026, compared to $62.1 million in the prior year period. The sold finished goods volume for the three months ended September 30, 2026 and 2025 amounted to 34.6 million and 34.4 million liters, respectively. The 0.4% volume increase was mainly driven by growth in the retail channel. Approximately 68% of North America revenue was from the retail channel in the third quarter of 2026 compared to 61% in the prior year period.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Adjusted EBITDA increased $1.6 million to $0.3 million for the third quarter of 2026, compared to a loss of $1.3 million in the prior year period. The increase in Adjusted EBITDA was primarily due to higher gross profit, partially offset by higher customer distribution costs due to increased sold volumes, increased inflation driven by the conflict in the Middle East and by the constraints in the freight market in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Greater China revenue decreased $5.5 million, or 14.6%, to $32.0 million for the third quarter of 2026, compared to $37.4 million in the prior year period. Excluding a foreign currency exchange tailwind of $1.8 million in the quarter, Greater China revenue for the quarter was $30.2 million or a decrease of 19.3%. The decline in the Greater China segment was primarily explained by competition in the foodservice market, partially offset by increased sales in retail. Approximately 44% of Greater China revenue was from the foodservice channel for the third quarter of 2026 compared to 66% in the prior year period. The sold finished goods volume for the three months ended September 30, 2026 and 2025 amounted to 23.9 million and 32.5 million liters, respectively.</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Greater China Adjusted EBITDA decreased $3.5 million to a loss of $1.9 million in the third quarter of 2026, compared to Adjusted EBITDA of $1.6 million in the prior year period. The decrease in Adjusted EBITDA is mainly explained by lower gross profit due to declining volumes sold as well as higher selling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costs not allocated to the segments, was $22.9 million in the third quarter of 2026, an increase of $1.5 million compared to the prior year period, driven by higher personnel costs. Adjusted EBITDA in the third quarter of 2026 was a loss of $20.5 million compared to a loss of $19.1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cash and cash equivalents of $23.3 million and total outstanding debt of $523.2 million consisting of Nordic Bonds, Convertible Notes and liabilities to credit institutions. Net cash used in operating activities was $11.5 million for the nine months ended September 30, 2026, compared to $17.4 million during the prior year period, which was primarily driven by improved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were $19.2 million for the nine months ended September 30, 2026, compared to $13.8 million in the prior year period.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was an outflow of $30.7 million for the nine months ended September 30, 2026, compared to an outflow of $31.1 million during the prior year period. The improvement in Free Cash Flow was driven by decreased net cash flows used in operating activities, partly offset by higher capital expenditures.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press release.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Review of Greater China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its strategic review of the Company’s Greater China business.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there is no definitive timetable for completing the strategic review, the Company expects to complete the strategic review within 2026. The Company does not intend to provide further updates unless and until the Board of Directors has approved a specific course of action or determines that additional disclosure is appropriate or required. The Company cautions that there can be no assurances that the process will result in any transaction or strategic change.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assessment of the current operating environment and the actions it is taking, the Company is maintaining its outlook for Constant Currency Revenue for the 2026 year and reducing its outlook for full-year Adjusted EBITDA. The Company is also maintaining its outlook for capital expenditures for the 2026 year.</w:t>
      </w:r>
    </w:p>
    <w:p>
      <w:pPr>
        <w:spacing w:after="0" w:line="284" w:lineRule="exact"/>
        <w:rPr>
          <w:sz w:val="20"/>
          <w:szCs w:val="20"/>
          <w:color w:val="auto"/>
        </w:rPr>
      </w:pPr>
    </w:p>
    <w:p>
      <w:pPr>
        <w:jc w:val="both"/>
        <w:ind w:left="1540" w:hanging="514"/>
        <w:spacing w:after="0" w:line="266"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+8% to +10% (unchanged from our prior outlook). Based on recent foreign exchange rates, the full-year impact of foreign exchange is expected to be a tailwind to revenue growth by approximately 200 to 250 basis points; also unchanged relative to our prior outlook.</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now expected to be in the range of $16 million to $20 million relative to our prior outlook of $25 million to $35 million.</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in the range of $20 million to $30 million (unchanged).</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outlook continues to include the expected results of the Greater China segment. As previously noted, there continue to be significant macroeconomic uncertainty and other geopolitical uncertainties and this outlook assumes that the impact from the conflict in the Middle East does not worsen from what is expected today.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Third Quarter 2026 Financial Report and Supplemental Presentation Details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Oatly will host a conference call and webcast at 08:00 ET today to discuss these results. The conference call, simultaneous, live webcast and supplemental presentation can be accessed on Oatly’s investors website at https://investors.oatly.com under “Events”. The webcast will be archived for 30 days.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complete Third Quarter 2026 Financial Report is available on Oatly’s investors website at https://investors.oatly.com under “Financials and Filings”.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60 countries globally.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2026, profitability improvement, profitable growth in 2026,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we have a history of losses, and we may be unable to achieve or sustain profitability, including due to elevated inflation and increased costs for transportation, energy, and materials; our future business, financial condition and results of operations may be adversely affected by reduced or limited availability of oats and other raw materials and ingredients, which meet our quality standards, that our limited number of suppliers are able to sell to us; a failure to obtain necessary capital when needed on acceptable terms, or at all, may force us to delay, limit, reduce or terminate our product manufacturing and development and other operations; the primary components of all our products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auto"/>
        </w:rPr>
        <w:t>are manufactured in our production facilities, and damage or disruption at these facilities has in the past harmed, and may in the future harm, our business; our brand or reputation may be harmed due to real or perceived quality, food safety, nutrition or sustainability issues with our products, which could have an adverse effect on our business, reputation, financial condition and results of operations; 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consolidation of customers, the loss of a significant customer or the decrease of sales from a significant customer, could negatively impact our sales and profitability; sales of our oatmilk varieties contribute a significant portion of our revenue and a reduction in such sales would have an adverse effect on our business, financial condition and results of operations; we continue to pursue largely an asset-light business model blending a heavy reliance on our co-manufacturing partners in addition to in-house</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capacity expansions where appropriate; our strategic partnerships with our co-manufacturers may not be successful, which could adversely affect our operations and manufacturing strategy; failure by our logistics providers to deliver our products on time, or at all, could result in lost sales; we may not successfully ramp up operations at any of our or our co-manufacturing partners’ facilities, or these facilities may not operate in accordance with our expectations; 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 if we fail to develop and maintain our brand, our business could suffer; failure to develop or introduce new products or successfully improve existing products may adversely affect our ability to continue to grow; if we fail to cost-effectively acquire new customers and consumers or retain our existing customers and consumers, or if we fail to derive revenue from our existing customers consistent with our historical performance, our business could be materially adversely affected; consumer preferences for our products are difficult to predict and may change, and, if we are unable to respond quickly to new trends, our business may be adversely affected; if we fail to manage our future growth effectively, including maintenance of our workforce, our business, financial condition and results of operations could be materially adversely affected; we have recognized impairment charges for long-lived assets and other exit costs in connection with our production facilities, and we may need to recognize further costs in the future, which could adversely impact our business, financial condition and results of operations; 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we rely on information technology systems and any inadequacy, failure or interruption of, or cybersecurity incidents affecting, those systems may harm our reputation and ability to effectively operate our business; a cybersecurity incident or other technology disruptions could negatively impact our business and our relationships with customers; to remain competitive, we believe we will need to adopt artificial intelligence and other machine learning technologies; our customer agreements do not contain long-term commitments and do not require our customers to continue purchasing products from us and this may negatively impact our business or financial condition; we may face difficulties as we expand our operations into countries in which we have no prior operating experience; the strategic review of the Company’s Greater China operations may not be timely or successful; our operations in China could expose us to substantial business, regulatory, political, financial and economic risks; the international nature of our business subjects us to additional global economic and geopolitical risks; if we fail to comply with trade compliance and economic sanctions laws and regulations of the United States (the “U.S.”), the EU and other applicable international jurisdictions, it could materially adversely affect our reputation and results of operations; some of our debt agreements contain a floating interest rate component and as a result, an increase in market interest rates will increase our future interest payments under such agreements; our international operations expose us to the risk of fluctuations in currency exchange rates; we maintain cash and cash equivalents at financial institutions, often in amounts exceeding insured limits, and the failure of one or more of these institutions could result in a loss of deposits and adversely affect our liquidity or ability to raise capital; packaging costs are volatile and may rise significantly, which may negatively impact the profitability of our business; fluctuations in our results of operations may impact, and may have a disproportionate effect on, our overall financial condition and results of operations; litigation or legal proceedings, or the threat of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may adversely affect our operations or our ability to grow successfully;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may adversely affect our business, financial condition and results of operations; our business is affected by macroeconomic conditions, including international tariffs and trade wars, rising inflation, interest rates and supply chain constraints; we are subject to risks inherent to organizations with international operations, which could harm our business, and global conflicts, including the ongoing conflict in the Middle East; legal claims, government investigations or other regulatory enforcement actions could subject us to civil and criminal penalties; our operations are subject to U.S., EU, China and other laws and regulations, and there is no assurance that we will be in compliance with all applicable laws and regulations; changes in existing laws or regulations, or the adoption of new laws or regulations may increase our costs and otherwise adversely affect our business, financial condition and results of operations; we are subject to stringent environmental regulation and potentially subject to environmental litigation, proceedings and investigations; we may not be able to protect, enforce or defend our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intellectual property and other proprietary rights adequately, which may impact our commercial success; we have incurred substantial indebtedness that may decrease our business flexibility, access to capital, and/or increase our future borrowing costs; and the other important factors discussed under the caption “Risk Factors” in our Annual Report on Form 20-F for the year ended December 31, 2025, filed with the U.S. Securities and Exchange Commission (“SEC”) on March 13, 2026,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EBITDA, Adjusted EBITDA and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and non-cash impairments related to the strategic review of the Greater China business, impacts related to the closure of production facility and non-controlling interests.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68"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and non-cash impairments related to the strategic review of the Greater China business that may reduce cash available to us;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Baumgartner, CFA,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investors@oatly.com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press@oatly.com</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information is information that Oatly Group AB (publ) is obliged to make public pursuant to the EU Market Abuse Regulation. The information was submitted for publication, through the agency of the contact person set out above, at 07:00 ET on October 28, 2026.</w:t>
      </w:r>
    </w:p>
    <w:p>
      <w:pPr>
        <w:spacing w:after="0" w:line="1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24"/>
                <w:szCs w:val="24"/>
                <w:color w:val="auto"/>
              </w:rPr>
            </w:pPr>
          </w:p>
        </w:tc>
        <w:tc>
          <w:tcPr>
            <w:tcW w:w="12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243,054</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711,474</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(160,072)</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(156,449)</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(470,788)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(432,378)</w:t>
            </w: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82,982</w:t>
            </w:r>
          </w:p>
        </w:tc>
        <w:tc>
          <w:tcPr>
            <w:tcW w:w="2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66,347</w:t>
            </w:r>
          </w:p>
        </w:tc>
        <w:tc>
          <w:tcPr>
            <w:tcW w:w="3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240,686</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196,302</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(4,561)</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(4,524)</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(13,520)</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(85,320)</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(75,146)</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(263,470)</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(236,755)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(2,290)</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(3,601)</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(3,658)</w:t>
            </w:r>
          </w:p>
        </w:tc>
      </w:tr>
      <w:tr>
        <w:trPr>
          <w:trHeight w:val="20"/>
        </w:trPr>
        <w:tc>
          <w:tcPr>
            <w:tcW w:w="4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(9,189)</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(16,924)</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(37,849)</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(57,631)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(16,066)</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(47,557)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(30,364)</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(70,062)</w:t>
            </w:r>
          </w:p>
        </w:tc>
      </w:tr>
      <w:tr>
        <w:trPr>
          <w:trHeight w:val="20"/>
        </w:trPr>
        <w:tc>
          <w:tcPr>
            <w:tcW w:w="4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(25,255)</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(68,213)</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(127,693)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(2,198)</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(923)</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(2,705)</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(6,188)</w:t>
            </w:r>
          </w:p>
        </w:tc>
      </w:tr>
      <w:tr>
        <w:trPr>
          <w:trHeight w:val="20"/>
        </w:trPr>
        <w:tc>
          <w:tcPr>
            <w:tcW w:w="4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(27,453)</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(70,918)</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(133,881)</w:t>
            </w:r>
          </w:p>
        </w:tc>
      </w:tr>
      <w:tr>
        <w:trPr>
          <w:trHeight w:val="197"/>
        </w:trPr>
        <w:tc>
          <w:tcPr>
            <w:tcW w:w="49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4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(27,458)</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(65,287)</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(70,747)</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(133,628)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49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49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shareholders of the parent</w:t>
            </w: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(0.86)</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0"/>
        </w:trPr>
        <w:tc>
          <w:tcPr>
            <w:tcW w:w="49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9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4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4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638,254,231</w:t>
            </w:r>
          </w:p>
        </w:tc>
        <w:tc>
          <w:tcPr>
            <w:tcW w:w="24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606,332,281</w:t>
            </w:r>
          </w:p>
        </w:tc>
        <w:tc>
          <w:tcPr>
            <w:tcW w:w="32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630,675,537</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602,057,593</w:t>
            </w:r>
          </w:p>
        </w:tc>
        <w:tc>
          <w:tcPr>
            <w:tcW w:w="10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-1499870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-1482090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-1499870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-1482090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-1499870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-1482090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126,610</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137,747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294,688</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29,482</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48,872</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481,548</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522,010</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80,701</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100,583</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231,157</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265,187</w:t>
            </w:r>
          </w:p>
        </w:tc>
        <w:tc>
          <w:tcPr>
            <w:tcW w:w="100" w:type="dxa"/>
            <w:vAlign w:val="bottom"/>
          </w:tcPr>
          <w:p>
            <w:pPr>
              <w:spacing w:after="0"/>
              <w:rPr>
                <w:sz w:val="18"/>
                <w:szCs w:val="18"/>
                <w:color w:val="auto"/>
              </w:rPr>
            </w:pPr>
          </w:p>
        </w:tc>
      </w:tr>
      <w:tr>
        <w:trPr>
          <w:trHeight w:val="24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712,705</w:t>
            </w:r>
          </w:p>
        </w:tc>
        <w:tc>
          <w:tcPr>
            <w:tcW w:w="2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(233,668)</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(225,351)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(1,458,865)</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(1,397,805)</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(50,820)</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(49,833)</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100" w:type="dxa"/>
            <w:vAlign w:val="bottom"/>
            <w:shd w:val="clear" w:color="auto" w:fill="CFF0FC"/>
          </w:tcPr>
          <w:p>
            <w:pPr>
              <w:spacing w:after="0"/>
              <w:rPr>
                <w:sz w:val="18"/>
                <w:szCs w:val="18"/>
                <w:color w:val="auto"/>
              </w:rPr>
            </w:pPr>
          </w:p>
        </w:tc>
      </w:tr>
      <w:tr>
        <w:trPr>
          <w:trHeight w:val="210"/>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168,830</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r>
      <w:tr>
        <w:trPr>
          <w:trHeight w:val="20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186,159</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210,209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354,346</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67,591</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125,962</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107,932</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576,379</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557,317</w:t>
            </w:r>
          </w:p>
        </w:tc>
        <w:tc>
          <w:tcPr>
            <w:tcW w:w="100" w:type="dxa"/>
            <w:vAlign w:val="bottom"/>
          </w:tcPr>
          <w:p>
            <w:pPr>
              <w:spacing w:after="0"/>
              <w:rPr>
                <w:sz w:val="18"/>
                <w:szCs w:val="18"/>
                <w:color w:val="auto"/>
              </w:rPr>
            </w:pPr>
          </w:p>
        </w:tc>
      </w:tr>
      <w:tr>
        <w:trPr>
          <w:trHeight w:val="21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762,538</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767,526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712,705</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-5228590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-4114165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-3822700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-3805555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-2407920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-1567815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-462280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7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0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(70,918)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(133,881)</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Pr>
          <w:p>
            <w:pPr>
              <w:spacing w:after="0"/>
              <w:rPr>
                <w:sz w:val="20"/>
                <w:szCs w:val="20"/>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gain on trade receivables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—Movements in provisions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(12,548)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(11,902)</w:t>
            </w: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disposal of property, plant and equipment and intangible assets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(474)</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related to the strategic review of Greater China business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9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(545)</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(16,690)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(17,807)</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(3,026)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(2,348)</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inventories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(19,301)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trade payables, other current liabilities, accrued expenses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9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18"/>
                <w:szCs w:val="18"/>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(11,481)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(17,359)</w:t>
            </w: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0" w:type="dxa"/>
            <w:vAlign w:val="bottom"/>
            <w:tcBorders>
              <w:top w:val="single" w:sz="8" w:color="auto"/>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(2,588)</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(1,707)</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(16,649)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(12,068)</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(18,668)</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(12,986)</w:t>
            </w: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0" w:type="dxa"/>
            <w:vAlign w:val="bottom"/>
            <w:tcBorders>
              <w:top w:val="single" w:sz="8" w:color="auto"/>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23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9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(1,533)</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(9,100)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(9,369)</w:t>
            </w: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(9,185)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(12,284)</w:t>
            </w:r>
          </w:p>
        </w:tc>
      </w:tr>
      <w:tr>
        <w:trPr>
          <w:trHeight w:val="20"/>
        </w:trPr>
        <w:tc>
          <w:tcPr>
            <w:tcW w:w="7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(39,334)</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(42,629)</w:t>
            </w: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90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100" w:type="dxa"/>
            <w:vAlign w:val="bottom"/>
            <w:tcBorders>
              <w:top w:val="single" w:sz="8" w:color="CFF0FC"/>
            </w:tcBorders>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(1,689)</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FF0FC"/>
          </w:tcPr>
          <w:p>
            <w:pPr>
              <w:spacing w:after="0"/>
              <w:rPr>
                <w:sz w:val="18"/>
                <w:szCs w:val="18"/>
                <w:color w:val="auto"/>
              </w:rPr>
            </w:pP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23,322</w:t>
            </w:r>
          </w:p>
        </w:tc>
        <w:tc>
          <w:tcPr>
            <w:tcW w:w="90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58,903</w:t>
            </w:r>
          </w:p>
        </w:tc>
        <w:tc>
          <w:tcPr>
            <w:tcW w:w="100" w:type="dxa"/>
            <w:vAlign w:val="bottom"/>
            <w:tcBorders>
              <w:top w:val="single" w:sz="8" w:color="CFF0FC"/>
            </w:tcBorders>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-2416810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-1576705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-745490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-453390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to Loss for the Period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(27,453)</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(65,404)</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(70,918)</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(133,881)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47,557</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3,181</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(4,664)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9,429</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14,814</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26" w:lineRule="exact"/>
        <w:rPr>
          <w:rFonts w:ascii="Times New Roman" w:cs="Times New Roman" w:eastAsia="Times New Roman" w:hAnsi="Times New Roman"/>
          <w:sz w:val="16"/>
          <w:szCs w:val="16"/>
          <w:color w:val="auto"/>
        </w:rPr>
      </w:pPr>
    </w:p>
    <w:p>
      <w:pPr>
        <w:ind w:right="20" w:firstLine="8"/>
        <w:spacing w:after="0" w:line="264" w:lineRule="auto"/>
        <w:tabs>
          <w:tab w:leader="none" w:pos="24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strategic review of the Greater China segment, mainly consisting of non-cash impairments and cost for external consultants during 2026 and mainly cost for external consultants during 2025.</w:t>
      </w: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Flows used in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94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0" w:type="dxa"/>
            <w:vAlign w:val="bottom"/>
            <w:tcBorders>
              <w:top w:val="single" w:sz="8" w:color="auto"/>
              <w:bottom w:val="single" w:sz="8" w:color="auto"/>
            </w:tcBorders>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(9,917)</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(2,354)</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(11,481)</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(17,359)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(8,516)</w:t>
            </w:r>
          </w:p>
        </w:tc>
        <w:tc>
          <w:tcPr>
            <w:tcW w:w="10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(3,076)</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(19,237)</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(13,775)</w:t>
            </w:r>
          </w:p>
        </w:tc>
      </w:tr>
      <w:tr>
        <w:trPr>
          <w:trHeight w:val="20"/>
        </w:trPr>
        <w:tc>
          <w:tcPr>
            <w:tcW w:w="3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(18,433)</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(5,430)</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(30,718)</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(31,134)</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2026-10-28T06:03:40Z</dcterms:created>
  <dcterms:modified xsi:type="dcterms:W3CDTF">2026-10-28T06:03:40Z</dcterms:modified>
</cp:coreProperties>
</file>